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275" w:rsidRDefault="00385468" w:rsidP="00993275">
      <w:pPr>
        <w:ind w:left="5529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2495042</wp:posOffset>
            </wp:positionH>
            <wp:positionV relativeFrom="paragraph">
              <wp:posOffset>-49886</wp:posOffset>
            </wp:positionV>
            <wp:extent cx="727100" cy="863194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100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993275" w:rsidTr="00E75DA3">
        <w:trPr>
          <w:trHeight w:val="397"/>
        </w:trPr>
        <w:tc>
          <w:tcPr>
            <w:tcW w:w="9606" w:type="dxa"/>
          </w:tcPr>
          <w:p w:rsidR="00993275" w:rsidRDefault="00993275" w:rsidP="00E75DA3">
            <w:pPr>
              <w:jc w:val="center"/>
              <w:rPr>
                <w:b/>
                <w:sz w:val="28"/>
              </w:rPr>
            </w:pPr>
          </w:p>
        </w:tc>
      </w:tr>
    </w:tbl>
    <w:p w:rsidR="00993275" w:rsidRDefault="00074064" w:rsidP="00993275">
      <w:pPr>
        <w:spacing w:line="192" w:lineRule="auto"/>
        <w:jc w:val="center"/>
        <w:rPr>
          <w:sz w:val="30"/>
        </w:rPr>
      </w:pPr>
      <w:r w:rsidRPr="0007406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6.2pt;margin-top:-37.05pt;width:111.15pt;height:39.9pt;z-index:251658240;mso-position-horizontal-relative:text;mso-position-vertical-relative:text" stroked="f">
            <v:textbox style="mso-next-textbox:#_x0000_s1026">
              <w:txbxContent>
                <w:p w:rsidR="00993275" w:rsidRDefault="00993275" w:rsidP="00993275"/>
              </w:txbxContent>
            </v:textbox>
          </v:shape>
        </w:pict>
      </w:r>
      <w:r w:rsidR="00993275">
        <w:t xml:space="preserve"> </w:t>
      </w:r>
    </w:p>
    <w:p w:rsidR="00993275" w:rsidRDefault="00074064" w:rsidP="00993275">
      <w:pPr>
        <w:ind w:right="-185"/>
      </w:pPr>
      <w:r>
        <w:pict>
          <v:shape id="_x0000_s1027" type="#_x0000_t202" style="position:absolute;margin-left:376.2pt;margin-top:-37.05pt;width:111.15pt;height:39.9pt;z-index:251661312" stroked="f">
            <v:textbox style="mso-next-textbox:#_x0000_s1027">
              <w:txbxContent>
                <w:p w:rsidR="00993275" w:rsidRDefault="00993275" w:rsidP="00993275"/>
              </w:txbxContent>
            </v:textbox>
          </v:shape>
        </w:pict>
      </w:r>
      <w:r w:rsidR="00993275">
        <w:t xml:space="preserve"> </w:t>
      </w:r>
    </w:p>
    <w:p w:rsidR="00993275" w:rsidRDefault="00993275" w:rsidP="00993275">
      <w:pPr>
        <w:jc w:val="center"/>
      </w:pPr>
    </w:p>
    <w:tbl>
      <w:tblPr>
        <w:tblpPr w:leftFromText="180" w:rightFromText="180" w:vertAnchor="text" w:horzAnchor="margin" w:tblpY="1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993275" w:rsidTr="00E75DA3">
        <w:tc>
          <w:tcPr>
            <w:tcW w:w="9606" w:type="dxa"/>
          </w:tcPr>
          <w:p w:rsidR="00993275" w:rsidRDefault="00993275" w:rsidP="00E75DA3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АДМИНИСТРАЦИЯ МОКШАНСКОГО РАЙОНА </w:t>
            </w:r>
          </w:p>
        </w:tc>
      </w:tr>
      <w:tr w:rsidR="00993275" w:rsidTr="00E75DA3">
        <w:trPr>
          <w:trHeight w:val="397"/>
        </w:trPr>
        <w:tc>
          <w:tcPr>
            <w:tcW w:w="9606" w:type="dxa"/>
            <w:vAlign w:val="center"/>
          </w:tcPr>
          <w:p w:rsidR="00993275" w:rsidRDefault="00993275" w:rsidP="00E75DA3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ПЕНЗЕНСКОЙ ОБЛАСТИ</w:t>
            </w:r>
          </w:p>
        </w:tc>
      </w:tr>
      <w:tr w:rsidR="00993275" w:rsidTr="00E75DA3">
        <w:trPr>
          <w:trHeight w:val="294"/>
        </w:trPr>
        <w:tc>
          <w:tcPr>
            <w:tcW w:w="9606" w:type="dxa"/>
          </w:tcPr>
          <w:p w:rsidR="00993275" w:rsidRDefault="00993275" w:rsidP="00E75DA3">
            <w:pPr>
              <w:pStyle w:val="3"/>
            </w:pPr>
          </w:p>
        </w:tc>
      </w:tr>
      <w:tr w:rsidR="00993275" w:rsidTr="00E75DA3">
        <w:trPr>
          <w:trHeight w:val="542"/>
        </w:trPr>
        <w:tc>
          <w:tcPr>
            <w:tcW w:w="9606" w:type="dxa"/>
            <w:vAlign w:val="center"/>
          </w:tcPr>
          <w:p w:rsidR="00993275" w:rsidRDefault="00993275" w:rsidP="00E75DA3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</w:tr>
      <w:tr w:rsidR="00993275" w:rsidTr="00E75DA3">
        <w:trPr>
          <w:trHeight w:val="212"/>
        </w:trPr>
        <w:tc>
          <w:tcPr>
            <w:tcW w:w="9606" w:type="dxa"/>
            <w:vAlign w:val="center"/>
          </w:tcPr>
          <w:p w:rsidR="00993275" w:rsidRDefault="00993275" w:rsidP="00E75DA3">
            <w:pPr>
              <w:pStyle w:val="3"/>
              <w:rPr>
                <w:sz w:val="28"/>
                <w:szCs w:val="28"/>
              </w:rPr>
            </w:pPr>
          </w:p>
        </w:tc>
      </w:tr>
    </w:tbl>
    <w:p w:rsidR="00993275" w:rsidRDefault="00993275" w:rsidP="00993275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93275" w:rsidTr="00E75DA3">
        <w:tc>
          <w:tcPr>
            <w:tcW w:w="284" w:type="dxa"/>
            <w:vAlign w:val="bottom"/>
          </w:tcPr>
          <w:p w:rsidR="00993275" w:rsidRDefault="00993275" w:rsidP="00E75DA3"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3275" w:rsidRDefault="00993275" w:rsidP="00E75DA3">
            <w:pPr>
              <w:jc w:val="center"/>
            </w:pPr>
          </w:p>
        </w:tc>
        <w:tc>
          <w:tcPr>
            <w:tcW w:w="397" w:type="dxa"/>
            <w:vAlign w:val="bottom"/>
          </w:tcPr>
          <w:p w:rsidR="00993275" w:rsidRDefault="00993275" w:rsidP="00E75DA3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3275" w:rsidRDefault="00993275" w:rsidP="00E75DA3">
            <w:pPr>
              <w:jc w:val="center"/>
            </w:pPr>
          </w:p>
        </w:tc>
      </w:tr>
      <w:tr w:rsidR="00993275" w:rsidTr="00E75DA3">
        <w:tc>
          <w:tcPr>
            <w:tcW w:w="4650" w:type="dxa"/>
            <w:gridSpan w:val="4"/>
          </w:tcPr>
          <w:p w:rsidR="00993275" w:rsidRDefault="00993275" w:rsidP="00E75DA3">
            <w:pPr>
              <w:jc w:val="center"/>
              <w:rPr>
                <w:sz w:val="10"/>
              </w:rPr>
            </w:pPr>
          </w:p>
          <w:p w:rsidR="00993275" w:rsidRDefault="00993275" w:rsidP="00E75DA3">
            <w:pPr>
              <w:jc w:val="center"/>
            </w:pPr>
            <w:r>
              <w:t>р.п. Мокшан</w:t>
            </w:r>
          </w:p>
        </w:tc>
      </w:tr>
    </w:tbl>
    <w:p w:rsidR="00993275" w:rsidRDefault="00993275" w:rsidP="00993275">
      <w:pPr>
        <w:rPr>
          <w:sz w:val="28"/>
        </w:rPr>
      </w:pPr>
    </w:p>
    <w:p w:rsidR="00993275" w:rsidRDefault="00993275" w:rsidP="00993275">
      <w:pPr>
        <w:rPr>
          <w:sz w:val="28"/>
        </w:rPr>
      </w:pPr>
    </w:p>
    <w:p w:rsidR="0008185B" w:rsidRDefault="00993275" w:rsidP="00782FBF">
      <w:pPr>
        <w:pStyle w:val="Heading1"/>
        <w:spacing w:before="89" w:line="313" w:lineRule="exact"/>
        <w:ind w:left="1670"/>
      </w:pPr>
      <w:r w:rsidRPr="00782FBF">
        <w:t xml:space="preserve">О внесении изменений в </w:t>
      </w:r>
      <w:r w:rsidR="00A7642D" w:rsidRPr="00782FBF">
        <w:t>Положение</w:t>
      </w:r>
      <w:r w:rsidR="00B96F16" w:rsidRPr="00977F8E">
        <w:rPr>
          <w:sz w:val="26"/>
          <w:szCs w:val="26"/>
        </w:rPr>
        <w:t xml:space="preserve">  </w:t>
      </w:r>
      <w:r w:rsidR="0008185B">
        <w:t>о системе оплаты</w:t>
      </w:r>
    </w:p>
    <w:p w:rsidR="0008185B" w:rsidRDefault="0008185B" w:rsidP="00782FBF">
      <w:pPr>
        <w:spacing w:before="7" w:line="225" w:lineRule="auto"/>
        <w:ind w:left="484" w:right="307"/>
        <w:jc w:val="center"/>
        <w:rPr>
          <w:b/>
          <w:sz w:val="28"/>
        </w:rPr>
      </w:pPr>
      <w:r>
        <w:rPr>
          <w:b/>
          <w:sz w:val="28"/>
        </w:rPr>
        <w:t>труда работников муниципальных бюджетных учреждений культуры Мокшанского района Пензенской области, утвержденное постановлением главы администрации Мокшанского района Пензенской области</w:t>
      </w:r>
      <w:r w:rsidR="00782FBF">
        <w:rPr>
          <w:b/>
          <w:sz w:val="28"/>
        </w:rPr>
        <w:t xml:space="preserve"> </w:t>
      </w:r>
      <w:r>
        <w:rPr>
          <w:b/>
          <w:sz w:val="28"/>
        </w:rPr>
        <w:t>от 30.12.2008 № 884 (с последующими изменениями)</w:t>
      </w:r>
    </w:p>
    <w:p w:rsidR="00993275" w:rsidRDefault="00993275" w:rsidP="00782FBF">
      <w:pPr>
        <w:rPr>
          <w:b/>
          <w:sz w:val="26"/>
          <w:szCs w:val="26"/>
        </w:rPr>
      </w:pPr>
    </w:p>
    <w:p w:rsidR="00B96F16" w:rsidRPr="00B96F16" w:rsidRDefault="0008185B" w:rsidP="00B96F16">
      <w:pPr>
        <w:widowControl/>
        <w:ind w:firstLine="720"/>
        <w:jc w:val="both"/>
        <w:rPr>
          <w:sz w:val="28"/>
          <w:szCs w:val="28"/>
        </w:rPr>
      </w:pPr>
      <w:r w:rsidRPr="0008185B">
        <w:rPr>
          <w:sz w:val="28"/>
          <w:szCs w:val="28"/>
        </w:rPr>
        <w:t>В соответствии с постановлением Правительства Российской Федерации от 19.01.2019 № 17 "О внесении изменений в постановление Правительства Российской Федерации от 5 августа 2008 г. № 583"</w:t>
      </w:r>
      <w:r>
        <w:rPr>
          <w:sz w:val="28"/>
          <w:szCs w:val="28"/>
        </w:rPr>
        <w:t xml:space="preserve">, </w:t>
      </w:r>
      <w:r w:rsidR="00B96F16" w:rsidRPr="005B5CC3">
        <w:rPr>
          <w:sz w:val="28"/>
          <w:szCs w:val="28"/>
        </w:rPr>
        <w:t xml:space="preserve">постановлением главы администрации Мокшанского района №500 от 21.08.2008 «О введении новых систем оплаты труда работников муниципальных учреждений, финансируемых из бюджета Мокшанского района» (с последующими изменениями), руководствуясь Уставом Мокшанского  района Пензенской области, </w:t>
      </w:r>
      <w:r w:rsidR="00B96F16">
        <w:rPr>
          <w:sz w:val="28"/>
          <w:szCs w:val="28"/>
        </w:rPr>
        <w:t xml:space="preserve"> -</w:t>
      </w:r>
    </w:p>
    <w:p w:rsidR="00993275" w:rsidRPr="00993275" w:rsidRDefault="00993275" w:rsidP="00993275">
      <w:pPr>
        <w:rPr>
          <w:sz w:val="28"/>
          <w:szCs w:val="28"/>
        </w:rPr>
      </w:pPr>
      <w:r w:rsidRPr="00993275">
        <w:rPr>
          <w:sz w:val="28"/>
          <w:szCs w:val="28"/>
        </w:rPr>
        <w:t xml:space="preserve">                     </w:t>
      </w:r>
    </w:p>
    <w:p w:rsidR="00993275" w:rsidRPr="00AA1FA8" w:rsidRDefault="00993275" w:rsidP="00993275">
      <w:pPr>
        <w:jc w:val="center"/>
        <w:rPr>
          <w:b/>
          <w:bCs/>
          <w:sz w:val="26"/>
          <w:szCs w:val="26"/>
        </w:rPr>
      </w:pPr>
      <w:r w:rsidRPr="00AA1FA8">
        <w:rPr>
          <w:b/>
          <w:bCs/>
          <w:sz w:val="26"/>
          <w:szCs w:val="26"/>
        </w:rPr>
        <w:t>администрация Мокшанского района постановляет:</w:t>
      </w:r>
    </w:p>
    <w:p w:rsidR="00993275" w:rsidRPr="00B047CF" w:rsidRDefault="00993275" w:rsidP="00B047C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2CA2" w:rsidRPr="00B047CF" w:rsidRDefault="007559E4" w:rsidP="00B047CF">
      <w:pPr>
        <w:tabs>
          <w:tab w:val="left" w:pos="1516"/>
        </w:tabs>
        <w:spacing w:before="3" w:line="225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047CF">
        <w:rPr>
          <w:sz w:val="28"/>
          <w:szCs w:val="28"/>
        </w:rPr>
        <w:t>1.</w:t>
      </w:r>
      <w:r w:rsidR="00993275" w:rsidRPr="00B047CF">
        <w:rPr>
          <w:sz w:val="28"/>
          <w:szCs w:val="28"/>
        </w:rPr>
        <w:t xml:space="preserve">Внести </w:t>
      </w:r>
      <w:r w:rsidR="0020469C" w:rsidRPr="00B047CF">
        <w:rPr>
          <w:sz w:val="28"/>
          <w:szCs w:val="28"/>
        </w:rPr>
        <w:t xml:space="preserve"> изменения </w:t>
      </w:r>
      <w:r w:rsidR="00993275" w:rsidRPr="00B047CF">
        <w:rPr>
          <w:sz w:val="28"/>
          <w:szCs w:val="28"/>
        </w:rPr>
        <w:t xml:space="preserve">в </w:t>
      </w:r>
      <w:r w:rsidR="00B96F16" w:rsidRPr="00B047CF">
        <w:rPr>
          <w:sz w:val="28"/>
          <w:szCs w:val="28"/>
        </w:rPr>
        <w:t xml:space="preserve">Положение  </w:t>
      </w:r>
      <w:r w:rsidR="0008185B" w:rsidRPr="00B047CF">
        <w:rPr>
          <w:sz w:val="28"/>
          <w:szCs w:val="28"/>
        </w:rPr>
        <w:t>о системе оплаты</w:t>
      </w:r>
      <w:r w:rsidR="0008185B" w:rsidRPr="00B047CF">
        <w:rPr>
          <w:b/>
          <w:sz w:val="28"/>
          <w:szCs w:val="28"/>
        </w:rPr>
        <w:t xml:space="preserve"> </w:t>
      </w:r>
      <w:r w:rsidR="0008185B" w:rsidRPr="00B047CF">
        <w:rPr>
          <w:sz w:val="28"/>
          <w:szCs w:val="28"/>
        </w:rPr>
        <w:t>труда работников муниципальных бюджетных учреждений культуры Мокшанского района Пензенской области, утвержденное постановлением главы администрации Мокшанского района Пензенской области</w:t>
      </w:r>
      <w:r w:rsidR="0008185B" w:rsidRPr="00B047CF">
        <w:rPr>
          <w:b/>
          <w:sz w:val="28"/>
          <w:szCs w:val="28"/>
        </w:rPr>
        <w:t xml:space="preserve"> </w:t>
      </w:r>
      <w:r w:rsidR="0008185B" w:rsidRPr="00B047CF">
        <w:rPr>
          <w:sz w:val="28"/>
          <w:szCs w:val="28"/>
        </w:rPr>
        <w:t>от 30.12.2008 № 884 (с последующими изменениями)</w:t>
      </w:r>
      <w:r w:rsidR="00022CA2" w:rsidRPr="00B047CF">
        <w:rPr>
          <w:sz w:val="28"/>
          <w:szCs w:val="28"/>
        </w:rPr>
        <w:t xml:space="preserve"> следующие изменения:</w:t>
      </w:r>
    </w:p>
    <w:p w:rsidR="00022CA2" w:rsidRPr="007559E4" w:rsidRDefault="007559E4" w:rsidP="007559E4">
      <w:pPr>
        <w:tabs>
          <w:tab w:val="left" w:pos="1538"/>
        </w:tabs>
        <w:spacing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1.1.</w:t>
      </w:r>
      <w:hyperlink r:id="rId8">
        <w:r w:rsidR="00022CA2" w:rsidRPr="007559E4">
          <w:rPr>
            <w:sz w:val="28"/>
            <w:szCs w:val="28"/>
          </w:rPr>
          <w:t>Раздел</w:t>
        </w:r>
        <w:r w:rsidR="00022CA2" w:rsidRPr="007559E4">
          <w:rPr>
            <w:spacing w:val="34"/>
            <w:sz w:val="28"/>
            <w:szCs w:val="28"/>
          </w:rPr>
          <w:t xml:space="preserve"> </w:t>
        </w:r>
        <w:r w:rsidR="00022CA2" w:rsidRPr="007559E4">
          <w:rPr>
            <w:sz w:val="28"/>
            <w:szCs w:val="28"/>
          </w:rPr>
          <w:t>1</w:t>
        </w:r>
      </w:hyperlink>
      <w:r w:rsidR="00022CA2" w:rsidRPr="007559E4">
        <w:rPr>
          <w:spacing w:val="35"/>
          <w:sz w:val="28"/>
          <w:szCs w:val="28"/>
        </w:rPr>
        <w:t xml:space="preserve"> </w:t>
      </w:r>
      <w:r w:rsidR="00022CA2" w:rsidRPr="007559E4">
        <w:rPr>
          <w:sz w:val="28"/>
          <w:szCs w:val="28"/>
        </w:rPr>
        <w:t>"Общие</w:t>
      </w:r>
      <w:r w:rsidR="00022CA2" w:rsidRPr="007559E4">
        <w:rPr>
          <w:spacing w:val="32"/>
          <w:sz w:val="28"/>
          <w:szCs w:val="28"/>
        </w:rPr>
        <w:t xml:space="preserve"> </w:t>
      </w:r>
      <w:r w:rsidR="00022CA2" w:rsidRPr="007559E4">
        <w:rPr>
          <w:sz w:val="28"/>
          <w:szCs w:val="28"/>
        </w:rPr>
        <w:t>положения"</w:t>
      </w:r>
      <w:r w:rsidR="00022CA2" w:rsidRPr="007559E4">
        <w:rPr>
          <w:spacing w:val="34"/>
          <w:sz w:val="28"/>
          <w:szCs w:val="28"/>
        </w:rPr>
        <w:t xml:space="preserve"> </w:t>
      </w:r>
      <w:r w:rsidR="00022CA2" w:rsidRPr="007559E4">
        <w:rPr>
          <w:sz w:val="28"/>
          <w:szCs w:val="28"/>
        </w:rPr>
        <w:t>Положения</w:t>
      </w:r>
      <w:r w:rsidR="00022CA2" w:rsidRPr="007559E4">
        <w:rPr>
          <w:spacing w:val="33"/>
          <w:sz w:val="28"/>
          <w:szCs w:val="28"/>
        </w:rPr>
        <w:t xml:space="preserve"> </w:t>
      </w:r>
      <w:r w:rsidR="00022CA2" w:rsidRPr="007559E4">
        <w:rPr>
          <w:sz w:val="28"/>
          <w:szCs w:val="28"/>
        </w:rPr>
        <w:t>дополнить</w:t>
      </w:r>
      <w:r w:rsidR="00022CA2" w:rsidRPr="007559E4">
        <w:rPr>
          <w:spacing w:val="31"/>
          <w:sz w:val="28"/>
          <w:szCs w:val="28"/>
        </w:rPr>
        <w:t xml:space="preserve"> </w:t>
      </w:r>
      <w:r w:rsidR="00022CA2" w:rsidRPr="007559E4">
        <w:rPr>
          <w:sz w:val="28"/>
          <w:szCs w:val="28"/>
        </w:rPr>
        <w:t>пунктами</w:t>
      </w:r>
      <w:r w:rsidR="00022CA2" w:rsidRPr="007559E4">
        <w:rPr>
          <w:spacing w:val="34"/>
          <w:sz w:val="28"/>
          <w:szCs w:val="28"/>
        </w:rPr>
        <w:t xml:space="preserve"> </w:t>
      </w:r>
      <w:r w:rsidR="00022CA2" w:rsidRPr="007559E4">
        <w:rPr>
          <w:sz w:val="28"/>
          <w:szCs w:val="28"/>
        </w:rPr>
        <w:t>1.12,</w:t>
      </w:r>
    </w:p>
    <w:p w:rsidR="00022CA2" w:rsidRPr="00B047CF" w:rsidRDefault="00022CA2" w:rsidP="00B047CF">
      <w:pPr>
        <w:pStyle w:val="a5"/>
        <w:spacing w:line="304" w:lineRule="exact"/>
        <w:ind w:left="302"/>
        <w:jc w:val="both"/>
      </w:pPr>
      <w:r w:rsidRPr="00B047CF">
        <w:t>1.13 и 1.14 следующего содержания:</w:t>
      </w:r>
    </w:p>
    <w:p w:rsidR="008444C6" w:rsidRPr="00B047CF" w:rsidRDefault="007559E4" w:rsidP="007559E4">
      <w:pPr>
        <w:pStyle w:val="a5"/>
        <w:spacing w:before="7" w:line="225" w:lineRule="auto"/>
        <w:ind w:right="119" w:firstLine="302"/>
        <w:jc w:val="both"/>
      </w:pPr>
      <w:r>
        <w:t>«</w:t>
      </w:r>
      <w:r w:rsidR="008444C6" w:rsidRPr="00B047CF">
        <w:t xml:space="preserve">1.12. Расчетный среднемесячный уровень заработной платы работников </w:t>
      </w:r>
      <w:r w:rsidR="001C015D" w:rsidRPr="00B047CF">
        <w:t xml:space="preserve">муниципальных </w:t>
      </w:r>
      <w:r>
        <w:t xml:space="preserve">бюджетных </w:t>
      </w:r>
      <w:r w:rsidR="001C015D" w:rsidRPr="00B047CF">
        <w:t>учреждений культуры</w:t>
      </w:r>
      <w:r w:rsidR="004A6222" w:rsidRPr="00B047CF">
        <w:t xml:space="preserve"> Мокшанского района</w:t>
      </w:r>
      <w:r w:rsidR="008444C6" w:rsidRPr="00B047CF">
        <w:t xml:space="preserve"> не может превышать </w:t>
      </w:r>
      <w:r w:rsidR="001C015D" w:rsidRPr="00B047CF">
        <w:rPr>
          <w:color w:val="000000"/>
        </w:rPr>
        <w:t>расчетного среднемесячного уровня заработной платы труда муниципальных служащих и работников, замещающих должности, не являющиеся должностями муниципальной службы, муниципального органа, осуществляющего функции и полномочия учредителя таких учреждений по формированию муниципального задания на оказание муниципальных услуг (выполнение работ) в соответствии с основными видами деятельности учреждений</w:t>
      </w:r>
      <w:r>
        <w:rPr>
          <w:color w:val="000000"/>
        </w:rPr>
        <w:t>.</w:t>
      </w:r>
    </w:p>
    <w:p w:rsidR="008444C6" w:rsidRPr="00B047CF" w:rsidRDefault="008444C6" w:rsidP="00B047CF">
      <w:pPr>
        <w:spacing w:line="225" w:lineRule="auto"/>
        <w:jc w:val="both"/>
        <w:rPr>
          <w:sz w:val="28"/>
          <w:szCs w:val="28"/>
        </w:rPr>
        <w:sectPr w:rsidR="008444C6" w:rsidRPr="00B047CF" w:rsidSect="008444C6">
          <w:pgSz w:w="11910" w:h="16850"/>
          <w:pgMar w:top="620" w:right="440" w:bottom="280" w:left="1400" w:header="720" w:footer="720" w:gutter="0"/>
          <w:cols w:space="720"/>
        </w:sectPr>
      </w:pPr>
    </w:p>
    <w:p w:rsidR="008444C6" w:rsidRPr="00B047CF" w:rsidRDefault="008444C6" w:rsidP="00B047CF">
      <w:pPr>
        <w:spacing w:before="72"/>
        <w:ind w:left="5071"/>
        <w:jc w:val="both"/>
        <w:rPr>
          <w:sz w:val="28"/>
          <w:szCs w:val="28"/>
        </w:rPr>
      </w:pPr>
    </w:p>
    <w:p w:rsidR="008444C6" w:rsidRPr="00B047CF" w:rsidRDefault="008444C6" w:rsidP="00B047CF">
      <w:pPr>
        <w:pStyle w:val="a5"/>
        <w:spacing w:before="1"/>
        <w:jc w:val="both"/>
      </w:pPr>
    </w:p>
    <w:p w:rsidR="001C015D" w:rsidRPr="007559E4" w:rsidRDefault="007559E4" w:rsidP="007559E4">
      <w:pPr>
        <w:ind w:firstLine="30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1.13.</w:t>
      </w:r>
      <w:r w:rsidR="001C015D" w:rsidRPr="007559E4">
        <w:rPr>
          <w:color w:val="000000"/>
          <w:sz w:val="28"/>
          <w:szCs w:val="28"/>
        </w:rPr>
        <w:t xml:space="preserve">В целях настоящего Положения расчетный среднемесячный уровень оплаты труда муниципальных служащих и работников, замещающих должности, не являющиеся должностями муниципальной службы, муниципального органа определяется путем деления установленного объема бюджетных ассигнований на оплату труда муниципальных служащих и работников, замещающих должности, не являющиеся должностями муниципальной службы, муниципального органа на установленную численность муниципальных служащих и работников, замещающих должности, не являющиеся должностями муниципальной службы, муниципального органа и деления полученного результата на 12 (количество месяцев в году) и доводится муниципальным органом до руководителя подведомственного муниципального </w:t>
      </w:r>
      <w:r w:rsidR="004A6222" w:rsidRPr="007559E4">
        <w:rPr>
          <w:color w:val="000000"/>
          <w:sz w:val="28"/>
          <w:szCs w:val="28"/>
        </w:rPr>
        <w:t xml:space="preserve">бюджетного </w:t>
      </w:r>
      <w:r w:rsidR="001C015D" w:rsidRPr="007559E4">
        <w:rPr>
          <w:color w:val="000000"/>
          <w:sz w:val="28"/>
          <w:szCs w:val="28"/>
        </w:rPr>
        <w:t>учреждения</w:t>
      </w:r>
      <w:r w:rsidR="004A6222" w:rsidRPr="007559E4">
        <w:rPr>
          <w:color w:val="000000"/>
          <w:sz w:val="28"/>
          <w:szCs w:val="28"/>
        </w:rPr>
        <w:t xml:space="preserve"> культуры</w:t>
      </w:r>
      <w:r>
        <w:rPr>
          <w:color w:val="000000"/>
          <w:sz w:val="28"/>
          <w:szCs w:val="28"/>
        </w:rPr>
        <w:t xml:space="preserve"> Мокшанского района </w:t>
      </w:r>
      <w:r w:rsidR="001C015D" w:rsidRPr="007559E4">
        <w:rPr>
          <w:color w:val="000000"/>
          <w:sz w:val="28"/>
          <w:szCs w:val="28"/>
        </w:rPr>
        <w:t xml:space="preserve">, указанного в пункте </w:t>
      </w:r>
      <w:r w:rsidR="004A6222" w:rsidRPr="007559E4">
        <w:rPr>
          <w:color w:val="000000"/>
          <w:sz w:val="28"/>
          <w:szCs w:val="28"/>
        </w:rPr>
        <w:t>1</w:t>
      </w:r>
      <w:r w:rsidR="001C015D" w:rsidRPr="007559E4">
        <w:rPr>
          <w:color w:val="000000"/>
          <w:sz w:val="28"/>
          <w:szCs w:val="28"/>
        </w:rPr>
        <w:t>.</w:t>
      </w:r>
      <w:r w:rsidR="004A6222" w:rsidRPr="007559E4">
        <w:rPr>
          <w:color w:val="000000"/>
          <w:sz w:val="28"/>
          <w:szCs w:val="28"/>
        </w:rPr>
        <w:t>1</w:t>
      </w:r>
      <w:r w:rsidR="001C015D" w:rsidRPr="007559E4">
        <w:rPr>
          <w:color w:val="000000"/>
          <w:sz w:val="28"/>
          <w:szCs w:val="28"/>
        </w:rPr>
        <w:t>2 настоящего Положения.</w:t>
      </w:r>
    </w:p>
    <w:p w:rsidR="001C015D" w:rsidRPr="00B047CF" w:rsidRDefault="001C015D" w:rsidP="007559E4">
      <w:pPr>
        <w:ind w:firstLine="302"/>
        <w:jc w:val="both"/>
        <w:rPr>
          <w:color w:val="000000"/>
          <w:sz w:val="28"/>
          <w:szCs w:val="28"/>
        </w:rPr>
      </w:pPr>
      <w:r w:rsidRPr="00B047CF">
        <w:rPr>
          <w:color w:val="000000"/>
          <w:sz w:val="28"/>
          <w:szCs w:val="28"/>
        </w:rPr>
        <w:t xml:space="preserve">1.14.Расчетный среднемесячный уровень заработной платы работников </w:t>
      </w:r>
      <w:r w:rsidR="004A6222" w:rsidRPr="00B047CF">
        <w:rPr>
          <w:color w:val="000000"/>
          <w:sz w:val="28"/>
          <w:szCs w:val="28"/>
        </w:rPr>
        <w:t xml:space="preserve">подведомственных </w:t>
      </w:r>
      <w:r w:rsidRPr="00B047CF">
        <w:rPr>
          <w:color w:val="000000"/>
          <w:sz w:val="28"/>
          <w:szCs w:val="28"/>
        </w:rPr>
        <w:t xml:space="preserve"> муниципальн</w:t>
      </w:r>
      <w:r w:rsidR="004A6222" w:rsidRPr="00B047CF">
        <w:rPr>
          <w:color w:val="000000"/>
          <w:sz w:val="28"/>
          <w:szCs w:val="28"/>
        </w:rPr>
        <w:t xml:space="preserve">ых </w:t>
      </w:r>
      <w:r w:rsidR="007559E4">
        <w:rPr>
          <w:color w:val="000000"/>
          <w:sz w:val="28"/>
          <w:szCs w:val="28"/>
        </w:rPr>
        <w:t>бюджетных</w:t>
      </w:r>
      <w:r w:rsidR="004A6222" w:rsidRPr="00B047CF">
        <w:rPr>
          <w:color w:val="000000"/>
          <w:sz w:val="28"/>
          <w:szCs w:val="28"/>
        </w:rPr>
        <w:t xml:space="preserve"> учреждений культуры Мокшанского района</w:t>
      </w:r>
      <w:r w:rsidRPr="00B047CF">
        <w:rPr>
          <w:color w:val="000000"/>
          <w:sz w:val="28"/>
          <w:szCs w:val="28"/>
        </w:rPr>
        <w:t xml:space="preserve">, указанного в пункте </w:t>
      </w:r>
      <w:r w:rsidR="004A6222" w:rsidRPr="00B047CF">
        <w:rPr>
          <w:color w:val="000000"/>
          <w:sz w:val="28"/>
          <w:szCs w:val="28"/>
        </w:rPr>
        <w:t>1</w:t>
      </w:r>
      <w:r w:rsidRPr="00B047CF">
        <w:rPr>
          <w:color w:val="000000"/>
          <w:sz w:val="28"/>
          <w:szCs w:val="28"/>
        </w:rPr>
        <w:t>.</w:t>
      </w:r>
      <w:r w:rsidR="004A6222" w:rsidRPr="00B047CF">
        <w:rPr>
          <w:color w:val="000000"/>
          <w:sz w:val="28"/>
          <w:szCs w:val="28"/>
        </w:rPr>
        <w:t>1</w:t>
      </w:r>
      <w:r w:rsidRPr="00B047CF">
        <w:rPr>
          <w:color w:val="000000"/>
          <w:sz w:val="28"/>
          <w:szCs w:val="28"/>
        </w:rPr>
        <w:t xml:space="preserve">2 настоящего Положения, определяется путем деления установленного объема бюджетных ассигнований на оплату труда работников </w:t>
      </w:r>
      <w:r w:rsidR="004A6222" w:rsidRPr="00B047CF">
        <w:rPr>
          <w:color w:val="000000"/>
          <w:sz w:val="28"/>
          <w:szCs w:val="28"/>
        </w:rPr>
        <w:t xml:space="preserve">подведомственных  муниципальных </w:t>
      </w:r>
      <w:r w:rsidR="007559E4">
        <w:rPr>
          <w:color w:val="000000"/>
          <w:sz w:val="28"/>
          <w:szCs w:val="28"/>
        </w:rPr>
        <w:t>бюджетных</w:t>
      </w:r>
      <w:r w:rsidR="004A6222" w:rsidRPr="00B047CF">
        <w:rPr>
          <w:color w:val="000000"/>
          <w:sz w:val="28"/>
          <w:szCs w:val="28"/>
        </w:rPr>
        <w:t xml:space="preserve"> учреждений культуры Мокшанского района  </w:t>
      </w:r>
      <w:r w:rsidRPr="00B047CF">
        <w:rPr>
          <w:color w:val="000000"/>
          <w:sz w:val="28"/>
          <w:szCs w:val="28"/>
        </w:rPr>
        <w:t xml:space="preserve">(без учета объема бюджетных ассигнований, предусматриваемых на оплату труда работников подведомственного муниципального учреждения, в отношении которых федеральными законами, актами Президента Российской Федерации или Правительства Российской Федерации установлены специальные требования к уровню оплаты их труда) на численность работников </w:t>
      </w:r>
      <w:r w:rsidR="004A6222" w:rsidRPr="00B047CF">
        <w:rPr>
          <w:color w:val="000000"/>
          <w:sz w:val="28"/>
          <w:szCs w:val="28"/>
        </w:rPr>
        <w:t xml:space="preserve">подведомственных  муниципальных </w:t>
      </w:r>
      <w:r w:rsidR="007559E4">
        <w:rPr>
          <w:color w:val="000000"/>
          <w:sz w:val="28"/>
          <w:szCs w:val="28"/>
        </w:rPr>
        <w:t>бюджетных</w:t>
      </w:r>
      <w:r w:rsidR="004A6222" w:rsidRPr="00B047CF">
        <w:rPr>
          <w:color w:val="000000"/>
          <w:sz w:val="28"/>
          <w:szCs w:val="28"/>
        </w:rPr>
        <w:t xml:space="preserve"> учреждений культуры Мокшанского района</w:t>
      </w:r>
      <w:r w:rsidRPr="00B047CF">
        <w:rPr>
          <w:color w:val="000000"/>
          <w:sz w:val="28"/>
          <w:szCs w:val="28"/>
        </w:rPr>
        <w:t xml:space="preserve"> в соответствии с утвержденным штатным расписанием (без учета численности работников, в отношении которых установлены специальные требования к уровню оплаты их труда) и деления полученного результата на 12 (количество месяцев в году).</w:t>
      </w:r>
    </w:p>
    <w:p w:rsidR="00F578CB" w:rsidRPr="00B047CF" w:rsidRDefault="00F578CB" w:rsidP="00B047CF">
      <w:pPr>
        <w:ind w:left="302"/>
        <w:jc w:val="both"/>
        <w:rPr>
          <w:color w:val="000000"/>
          <w:sz w:val="28"/>
          <w:szCs w:val="28"/>
        </w:rPr>
      </w:pPr>
      <w:r w:rsidRPr="00B047CF">
        <w:rPr>
          <w:color w:val="000000"/>
          <w:sz w:val="28"/>
          <w:szCs w:val="28"/>
        </w:rPr>
        <w:t>1.2.</w:t>
      </w:r>
      <w:r w:rsidR="00470032" w:rsidRPr="00B047CF">
        <w:rPr>
          <w:color w:val="000000"/>
          <w:sz w:val="28"/>
          <w:szCs w:val="28"/>
        </w:rPr>
        <w:t xml:space="preserve"> Раздел 7 «Порядок  и условия премирования работников учреж</w:t>
      </w:r>
      <w:r w:rsidR="00B047CF" w:rsidRPr="00B047CF">
        <w:rPr>
          <w:color w:val="000000"/>
          <w:sz w:val="28"/>
          <w:szCs w:val="28"/>
        </w:rPr>
        <w:t>д</w:t>
      </w:r>
      <w:r w:rsidR="00470032" w:rsidRPr="00B047CF">
        <w:rPr>
          <w:color w:val="000000"/>
          <w:sz w:val="28"/>
          <w:szCs w:val="28"/>
        </w:rPr>
        <w:t>ения»</w:t>
      </w:r>
      <w:r w:rsidR="00B047CF" w:rsidRPr="00B047CF">
        <w:rPr>
          <w:color w:val="000000"/>
          <w:sz w:val="28"/>
          <w:szCs w:val="28"/>
        </w:rPr>
        <w:t xml:space="preserve"> изложить в новой редакции: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«7.1. С целью поощрения работников  муниципальных бюджетных учреждений культуры  Мокшанского района Пензенской области за общие результаты труда и в  соответствии с Перечнем видов выплат стимулирующего характера, утвержденным приказом Министерства здравоохранения и социального развития Российской Федерации от 29 декабря 2007 года № 818 «Об утверждении перечня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учреждениях» (зарегистрировано в Минюсте России 1 февраля 2008 г. № 11080), работникам могут быть установлены премиальные выплаты</w:t>
      </w:r>
      <w:r w:rsidRPr="00B047CF">
        <w:rPr>
          <w:rStyle w:val="aa"/>
          <w:sz w:val="28"/>
          <w:szCs w:val="28"/>
        </w:rPr>
        <w:footnoteReference w:id="1"/>
      </w:r>
      <w:r w:rsidRPr="00B047CF">
        <w:rPr>
          <w:sz w:val="28"/>
          <w:szCs w:val="28"/>
        </w:rPr>
        <w:t>: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Премия по итогам работы (за месяц, квартал, полугодие, год)</w:t>
      </w:r>
      <w:r w:rsidRPr="00B047CF">
        <w:rPr>
          <w:rStyle w:val="aa"/>
          <w:sz w:val="28"/>
          <w:szCs w:val="28"/>
        </w:rPr>
        <w:footnoteReference w:id="2"/>
      </w:r>
      <w:r w:rsidRPr="00B047CF">
        <w:rPr>
          <w:sz w:val="28"/>
          <w:szCs w:val="28"/>
        </w:rPr>
        <w:t xml:space="preserve">;  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премия за качество выполняемых работ;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47CF">
        <w:rPr>
          <w:bCs/>
          <w:sz w:val="28"/>
          <w:szCs w:val="28"/>
        </w:rPr>
        <w:lastRenderedPageBreak/>
        <w:t>премия за выполнение особо важных и срочных работ;</w:t>
      </w:r>
    </w:p>
    <w:p w:rsidR="00E56584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премия за интенсивность и высокие результаты работы</w:t>
      </w:r>
      <w:r w:rsidR="00E56584">
        <w:rPr>
          <w:sz w:val="28"/>
          <w:szCs w:val="28"/>
        </w:rPr>
        <w:t>;</w:t>
      </w:r>
    </w:p>
    <w:p w:rsidR="00B047CF" w:rsidRPr="00B047CF" w:rsidRDefault="00E56584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B047CF">
        <w:rPr>
          <w:sz w:val="28"/>
          <w:szCs w:val="28"/>
        </w:rPr>
        <w:t>диновременное премирование работников учреждений в связи с празднованием 25 марта Дня работника культуры, установленного Указом Президента Российской Федерации, от 26 августа 2007 года №1111»О Дне работника культуры»</w:t>
      </w:r>
      <w:r w:rsidR="00B047CF" w:rsidRPr="00B047CF">
        <w:rPr>
          <w:sz w:val="28"/>
          <w:szCs w:val="28"/>
        </w:rPr>
        <w:t>.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Премирование осуществляется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 направленных учреждением на оплату труда работников, если иное не установлено федеральными законами или законами Пензенской области: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 xml:space="preserve">заместителей руководителя, главного бухгалтера, главных специалистов и иных работников, подчиненных руководителю учреждения непосредственно;  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руководителей структурных подразделений учреждения, главных специалистов и иных работников, подчиненных заместителям руководителей - по представлению заместителей руководителя учреждения;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остальных работников, занятых в структурных подразделениях учреждения, на основании представления руководителей соответствующих структурных подразделений учреждения.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 xml:space="preserve">7.2. </w:t>
      </w:r>
      <w:r w:rsidRPr="00B047CF">
        <w:rPr>
          <w:bCs/>
          <w:sz w:val="28"/>
          <w:szCs w:val="28"/>
        </w:rPr>
        <w:t>Премия по итогам работы (за месяц, квартал, полугодие, год)</w:t>
      </w:r>
      <w:r w:rsidRPr="00B047CF">
        <w:rPr>
          <w:sz w:val="28"/>
          <w:szCs w:val="28"/>
        </w:rPr>
        <w:t xml:space="preserve"> выплачивается с целью поощрения работников за общие результаты труда по итогам работы за определенный период времени. 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При премировании учитывается: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успешное и добросовестное исполнение работником своих должностных обязанностей в соответствующем периоде;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инициатива, творчество и применение в работе современных форм и методов организации труда;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качественная подготовка и проведение мероприятий, связанных с уставной деятельностью учреждения;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выполнение порученной работы, связанной с обеспечением рабочего процесса или уставной деятельности учреждения;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качественная подготовка и своевременная сдача отчетности;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участие в течение соответствующего рабочего периода в выполнении важных работ, мероприятий и т.д.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Размер премии может устанавливаться как в процентах к окладу (должностному окладу), так и в абсолютном значении. Максимальным размером премия по итогам работы  не ограничена.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При увольнении работника по собственному желанию без уважительных причин до истечения календарного месяца работник лишается права на получение премии по итогам работы за месяц.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 xml:space="preserve">7.3. </w:t>
      </w:r>
      <w:r w:rsidRPr="00B047CF">
        <w:rPr>
          <w:bCs/>
          <w:sz w:val="28"/>
          <w:szCs w:val="28"/>
        </w:rPr>
        <w:t>Премия за качество выполняемых работ</w:t>
      </w:r>
      <w:r w:rsidRPr="00B047CF">
        <w:rPr>
          <w:sz w:val="28"/>
          <w:szCs w:val="28"/>
        </w:rPr>
        <w:t xml:space="preserve"> выплачивается работникам единовременно в размере 2 окладов (должностных окладов) при: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присвоении почетных званий Российской Федерации и награждении знаками отличия Российской Федерации, награждении орденами и медалями Российской Федерации;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награждении Почетной грамотой Министерства культуры Российской Федерации.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7.4.</w:t>
      </w:r>
      <w:r w:rsidRPr="00B047CF">
        <w:rPr>
          <w:b/>
          <w:sz w:val="28"/>
          <w:szCs w:val="28"/>
        </w:rPr>
        <w:t xml:space="preserve"> </w:t>
      </w:r>
      <w:r w:rsidRPr="00B047CF">
        <w:rPr>
          <w:sz w:val="28"/>
          <w:szCs w:val="28"/>
        </w:rPr>
        <w:t xml:space="preserve">Премия за выполнение особо важных и срочных работ выплачивается работникам единовременно по итогам выполнения особо важных и срочных работ </w:t>
      </w:r>
      <w:r w:rsidRPr="00B047CF">
        <w:rPr>
          <w:sz w:val="28"/>
          <w:szCs w:val="28"/>
        </w:rPr>
        <w:lastRenderedPageBreak/>
        <w:t xml:space="preserve">с целью поощрения работников за оперативность и качественный результат труда. 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При премировании учитывается: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организация и проведение мероприятий, крупных творческих акций и т. п.;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- участие в реализации федеральных целевых программ, долгосрочных целевых программ Пензенской области и долгосрочных целевых программ Мокшанского района.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Размер премии может устанавливаться как в абсолютном значении,  так и в процентном отношении к окладу (должностному окладу). Максимальным размером премия за выполнение особо важных работ и проведение мероприятий не ограничена.</w:t>
      </w:r>
    </w:p>
    <w:p w:rsidR="00B047CF" w:rsidRPr="00B047CF" w:rsidRDefault="00B047CF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 xml:space="preserve">7.5. </w:t>
      </w:r>
      <w:r w:rsidRPr="00B047CF">
        <w:rPr>
          <w:bCs/>
          <w:sz w:val="28"/>
          <w:szCs w:val="28"/>
        </w:rPr>
        <w:t>Премия за интенсивность и высокие результаты работы</w:t>
      </w:r>
      <w:r w:rsidRPr="00B047CF">
        <w:rPr>
          <w:sz w:val="28"/>
          <w:szCs w:val="28"/>
        </w:rPr>
        <w:t xml:space="preserve"> выплачивается работникам единовременно. При премировании учитывается:</w:t>
      </w:r>
    </w:p>
    <w:p w:rsidR="00B047CF" w:rsidRPr="00B047CF" w:rsidRDefault="00B047CF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интенсивность и напряженность работы;</w:t>
      </w:r>
    </w:p>
    <w:p w:rsidR="00B047CF" w:rsidRPr="00B047CF" w:rsidRDefault="00B047CF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учреждения);</w:t>
      </w:r>
    </w:p>
    <w:p w:rsidR="00B047CF" w:rsidRPr="00B047CF" w:rsidRDefault="00B047CF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организация и проведение мероприятий, направленных на повышение авторитета и имиджа учреждения среди населения.</w:t>
      </w:r>
    </w:p>
    <w:p w:rsidR="00B047CF" w:rsidRPr="00B047CF" w:rsidRDefault="00B047CF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Размер премии может устанавливаться как в абсолютном значении,  так и в процентном отношении к окладу (должностному окладу). Максимальным размером премия за выполнение особо важных работ и проведение мероприятий не ограничена.</w:t>
      </w:r>
    </w:p>
    <w:p w:rsidR="00B047CF" w:rsidRPr="00B047CF" w:rsidRDefault="00B047CF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Премирование за интенсивность и высокие результаты работы не применяется к работникам, которым установлена стимулирующая надбавка за интенсивность и высокие результаты работы.</w:t>
      </w:r>
    </w:p>
    <w:p w:rsidR="00B047CF" w:rsidRPr="00B047CF" w:rsidRDefault="00B047CF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7.6.Единовременное премирование работников учреждений в связи с празднованием 25 марта Дня работника культуры, установленного Указом Президента Российской Федерации, от 26 августа 2007 года №1111»О Дне работника культуры»</w:t>
      </w:r>
    </w:p>
    <w:p w:rsidR="00B047CF" w:rsidRPr="00B047CF" w:rsidRDefault="00B047CF" w:rsidP="00B047CF">
      <w:pPr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Размер премии устанавливается в абсолютном значении. Максимальным размером премия не ограничена.</w:t>
      </w:r>
    </w:p>
    <w:p w:rsidR="00B047CF" w:rsidRPr="00B047CF" w:rsidRDefault="00B047CF" w:rsidP="00B04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7.7. Премии,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т.д.»</w:t>
      </w:r>
    </w:p>
    <w:p w:rsidR="00B047CF" w:rsidRPr="00B047CF" w:rsidRDefault="00B047CF" w:rsidP="007559E4">
      <w:pPr>
        <w:jc w:val="both"/>
        <w:rPr>
          <w:color w:val="000000"/>
          <w:sz w:val="28"/>
          <w:szCs w:val="28"/>
        </w:rPr>
      </w:pPr>
    </w:p>
    <w:p w:rsidR="004A6222" w:rsidRPr="00B047CF" w:rsidRDefault="004A6222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2. Настоящее постановление опубликовать в информационном бюллетене «Ведомости органов местного самоуправления Мокшанского района Пензенской области».</w:t>
      </w:r>
    </w:p>
    <w:p w:rsidR="004A6222" w:rsidRPr="00B047CF" w:rsidRDefault="004A6222" w:rsidP="00B047CF">
      <w:pPr>
        <w:ind w:firstLine="720"/>
        <w:jc w:val="both"/>
        <w:rPr>
          <w:sz w:val="28"/>
          <w:szCs w:val="28"/>
        </w:rPr>
      </w:pPr>
      <w:r w:rsidRPr="00B047CF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E14389" w:rsidRDefault="00E14389" w:rsidP="00E14389">
      <w:pPr>
        <w:pStyle w:val="ConsPlusTitle"/>
        <w:widowControl/>
        <w:ind w:left="302"/>
        <w:jc w:val="both"/>
        <w:rPr>
          <w:rFonts w:ascii="Times New Roman" w:hAnsi="Times New Roman" w:cs="Times New Roman"/>
          <w:sz w:val="28"/>
          <w:szCs w:val="28"/>
        </w:rPr>
      </w:pPr>
    </w:p>
    <w:p w:rsidR="00E14389" w:rsidRDefault="00E14389" w:rsidP="00E14389">
      <w:pPr>
        <w:pStyle w:val="ConsPlusTitle"/>
        <w:widowControl/>
        <w:ind w:left="3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BA374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374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14389" w:rsidRPr="00BA3744" w:rsidRDefault="00E14389" w:rsidP="00E14389">
      <w:pPr>
        <w:pStyle w:val="ConsPlusTitle"/>
        <w:widowControl/>
        <w:ind w:left="3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Мокшанского района                             </w:t>
      </w:r>
      <w:r w:rsidRPr="00BA3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A374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Н.Н.Тихомиров</w:t>
      </w:r>
    </w:p>
    <w:p w:rsidR="00E14389" w:rsidRPr="00E14389" w:rsidRDefault="00E14389" w:rsidP="00E14389">
      <w:pPr>
        <w:pStyle w:val="a7"/>
        <w:numPr>
          <w:ilvl w:val="1"/>
          <w:numId w:val="1"/>
        </w:numPr>
        <w:tabs>
          <w:tab w:val="left" w:pos="1690"/>
        </w:tabs>
        <w:ind w:firstLine="708"/>
        <w:rPr>
          <w:sz w:val="28"/>
        </w:rPr>
        <w:sectPr w:rsidR="00E14389" w:rsidRPr="00E14389" w:rsidSect="00022CA2">
          <w:pgSz w:w="11910" w:h="16850"/>
          <w:pgMar w:top="620" w:right="440" w:bottom="280" w:left="1400" w:header="720" w:footer="720" w:gutter="0"/>
          <w:cols w:space="720"/>
        </w:sectPr>
      </w:pPr>
    </w:p>
    <w:p w:rsidR="00022CA2" w:rsidRDefault="00022CA2" w:rsidP="00022CA2">
      <w:pPr>
        <w:spacing w:before="72"/>
      </w:pPr>
    </w:p>
    <w:p w:rsidR="00022CA2" w:rsidRDefault="00022CA2" w:rsidP="00022CA2">
      <w:pPr>
        <w:pStyle w:val="a5"/>
        <w:spacing w:before="1"/>
        <w:rPr>
          <w:sz w:val="20"/>
        </w:rPr>
      </w:pPr>
    </w:p>
    <w:p w:rsidR="0008185B" w:rsidRPr="0008185B" w:rsidRDefault="0008185B" w:rsidP="0008185B">
      <w:pPr>
        <w:jc w:val="both"/>
        <w:rPr>
          <w:sz w:val="26"/>
          <w:szCs w:val="26"/>
        </w:rPr>
      </w:pPr>
    </w:p>
    <w:p w:rsidR="00217E45" w:rsidRDefault="00DF4336"/>
    <w:p w:rsidR="002A1B75" w:rsidRDefault="002A1B75"/>
    <w:p w:rsidR="002A1B75" w:rsidRDefault="002A1B75"/>
    <w:p w:rsidR="002A1B75" w:rsidRDefault="002A1B75"/>
    <w:p w:rsidR="002A1B75" w:rsidRDefault="002A1B75"/>
    <w:p w:rsidR="002A1B75" w:rsidRDefault="002A1B75"/>
    <w:p w:rsidR="002A1B75" w:rsidRDefault="002A1B75"/>
    <w:sectPr w:rsidR="002A1B75" w:rsidSect="00CB5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336" w:rsidRDefault="00DF4336" w:rsidP="00B047CF">
      <w:r>
        <w:separator/>
      </w:r>
    </w:p>
  </w:endnote>
  <w:endnote w:type="continuationSeparator" w:id="0">
    <w:p w:rsidR="00DF4336" w:rsidRDefault="00DF4336" w:rsidP="00B04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336" w:rsidRDefault="00DF4336" w:rsidP="00B047CF">
      <w:r>
        <w:separator/>
      </w:r>
    </w:p>
  </w:footnote>
  <w:footnote w:type="continuationSeparator" w:id="0">
    <w:p w:rsidR="00DF4336" w:rsidRDefault="00DF4336" w:rsidP="00B047CF">
      <w:r>
        <w:continuationSeparator/>
      </w:r>
    </w:p>
  </w:footnote>
  <w:footnote w:id="1">
    <w:p w:rsidR="00B047CF" w:rsidRDefault="00B047CF" w:rsidP="00B047CF">
      <w:pPr>
        <w:pStyle w:val="a8"/>
        <w:jc w:val="both"/>
      </w:pPr>
      <w:r>
        <w:rPr>
          <w:rStyle w:val="aa"/>
        </w:rPr>
        <w:footnoteRef/>
      </w:r>
      <w:r>
        <w:t xml:space="preserve"> Решение о введении каждой конкретной премии из нижеприведенных премий принимает руководитель учреждения. При этом наименование премии и условия ее осуществления включаются в положение об оплате и стимулировании труда работников соответствующего учреждения. </w:t>
      </w:r>
    </w:p>
  </w:footnote>
  <w:footnote w:id="2">
    <w:p w:rsidR="00B047CF" w:rsidRDefault="00B047CF" w:rsidP="00B047CF">
      <w:pPr>
        <w:pStyle w:val="a8"/>
        <w:jc w:val="both"/>
      </w:pPr>
      <w:r>
        <w:rPr>
          <w:rStyle w:val="aa"/>
        </w:rPr>
        <w:footnoteRef/>
      </w:r>
      <w:r>
        <w:t xml:space="preserve"> Период, за который выплачивается премия, конкретизируется в положении об оплате и стимулировании труда работников учреждения. В учреждении одновременно могут быть введены несколько премий за разные периоды работы, например, премия по итогам работы за квартал и премия по итогам работы за год.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6A29"/>
    <w:multiLevelType w:val="multilevel"/>
    <w:tmpl w:val="689C7F06"/>
    <w:lvl w:ilvl="0">
      <w:start w:val="1"/>
      <w:numFmt w:val="decimal"/>
      <w:lvlText w:val="%1."/>
      <w:lvlJc w:val="left"/>
      <w:pPr>
        <w:ind w:left="302" w:hanging="5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38" w:hanging="5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87" w:hanging="52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34" w:hanging="5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2" w:hanging="5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29" w:hanging="5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76" w:hanging="5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24" w:hanging="5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71" w:hanging="528"/>
      </w:pPr>
      <w:rPr>
        <w:rFonts w:hint="default"/>
        <w:lang w:val="ru-RU" w:eastAsia="ru-RU" w:bidi="ru-RU"/>
      </w:rPr>
    </w:lvl>
  </w:abstractNum>
  <w:abstractNum w:abstractNumId="1">
    <w:nsid w:val="28C96661"/>
    <w:multiLevelType w:val="multilevel"/>
    <w:tmpl w:val="B27CB70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2160"/>
      </w:pPr>
      <w:rPr>
        <w:rFonts w:hint="default"/>
      </w:rPr>
    </w:lvl>
  </w:abstractNum>
  <w:abstractNum w:abstractNumId="2">
    <w:nsid w:val="68067BDD"/>
    <w:multiLevelType w:val="multilevel"/>
    <w:tmpl w:val="86CE33B8"/>
    <w:lvl w:ilvl="0">
      <w:start w:val="1"/>
      <w:numFmt w:val="decimal"/>
      <w:lvlText w:val="%1"/>
      <w:lvlJc w:val="left"/>
      <w:pPr>
        <w:ind w:left="302" w:hanging="646"/>
      </w:pPr>
      <w:rPr>
        <w:rFonts w:hint="default"/>
        <w:lang w:val="ru-RU" w:eastAsia="ru-RU" w:bidi="ru-RU"/>
      </w:rPr>
    </w:lvl>
    <w:lvl w:ilvl="1">
      <w:start w:val="13"/>
      <w:numFmt w:val="decimal"/>
      <w:lvlText w:val="%1.%2."/>
      <w:lvlJc w:val="left"/>
      <w:pPr>
        <w:ind w:left="302" w:hanging="64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53" w:hanging="64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29" w:hanging="6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06" w:hanging="6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83" w:hanging="6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9" w:hanging="6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6" w:hanging="6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646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275"/>
    <w:rsid w:val="00022CA2"/>
    <w:rsid w:val="00061491"/>
    <w:rsid w:val="00074064"/>
    <w:rsid w:val="0008185B"/>
    <w:rsid w:val="000A443F"/>
    <w:rsid w:val="000E1253"/>
    <w:rsid w:val="000E2E1C"/>
    <w:rsid w:val="0015188E"/>
    <w:rsid w:val="001836F6"/>
    <w:rsid w:val="001941DA"/>
    <w:rsid w:val="001C015D"/>
    <w:rsid w:val="001F2D25"/>
    <w:rsid w:val="0020469C"/>
    <w:rsid w:val="0023676C"/>
    <w:rsid w:val="00243CEA"/>
    <w:rsid w:val="002A11C5"/>
    <w:rsid w:val="002A1B75"/>
    <w:rsid w:val="002B475B"/>
    <w:rsid w:val="00330FC9"/>
    <w:rsid w:val="00385468"/>
    <w:rsid w:val="003C6CF2"/>
    <w:rsid w:val="003E1E2E"/>
    <w:rsid w:val="00417704"/>
    <w:rsid w:val="00470032"/>
    <w:rsid w:val="004738ED"/>
    <w:rsid w:val="00474BBD"/>
    <w:rsid w:val="004A6222"/>
    <w:rsid w:val="004E16E2"/>
    <w:rsid w:val="00521698"/>
    <w:rsid w:val="00521876"/>
    <w:rsid w:val="00526C29"/>
    <w:rsid w:val="00560FF9"/>
    <w:rsid w:val="00590C88"/>
    <w:rsid w:val="005C4E81"/>
    <w:rsid w:val="006025F4"/>
    <w:rsid w:val="00635158"/>
    <w:rsid w:val="006B4E50"/>
    <w:rsid w:val="006C06FF"/>
    <w:rsid w:val="006C22E8"/>
    <w:rsid w:val="006F61FF"/>
    <w:rsid w:val="00741F92"/>
    <w:rsid w:val="007559E4"/>
    <w:rsid w:val="00782FBF"/>
    <w:rsid w:val="008444C6"/>
    <w:rsid w:val="0089756B"/>
    <w:rsid w:val="008D02BA"/>
    <w:rsid w:val="008D0803"/>
    <w:rsid w:val="008F1ACB"/>
    <w:rsid w:val="009020DA"/>
    <w:rsid w:val="00902CE2"/>
    <w:rsid w:val="00923E49"/>
    <w:rsid w:val="00960189"/>
    <w:rsid w:val="00993275"/>
    <w:rsid w:val="009F60DE"/>
    <w:rsid w:val="009F6E0E"/>
    <w:rsid w:val="00A7165E"/>
    <w:rsid w:val="00A73586"/>
    <w:rsid w:val="00A7642D"/>
    <w:rsid w:val="00AA14BC"/>
    <w:rsid w:val="00AC1234"/>
    <w:rsid w:val="00AC6464"/>
    <w:rsid w:val="00AE52BF"/>
    <w:rsid w:val="00B035D1"/>
    <w:rsid w:val="00B047CF"/>
    <w:rsid w:val="00B24159"/>
    <w:rsid w:val="00B73F8E"/>
    <w:rsid w:val="00B800B0"/>
    <w:rsid w:val="00B96F16"/>
    <w:rsid w:val="00BB0714"/>
    <w:rsid w:val="00BC61FF"/>
    <w:rsid w:val="00BD3BF4"/>
    <w:rsid w:val="00BD6931"/>
    <w:rsid w:val="00BE461E"/>
    <w:rsid w:val="00C262E4"/>
    <w:rsid w:val="00C95838"/>
    <w:rsid w:val="00CB5CAA"/>
    <w:rsid w:val="00D90CD1"/>
    <w:rsid w:val="00DA19EC"/>
    <w:rsid w:val="00DF4336"/>
    <w:rsid w:val="00E14389"/>
    <w:rsid w:val="00E5208C"/>
    <w:rsid w:val="00E56584"/>
    <w:rsid w:val="00E90D2F"/>
    <w:rsid w:val="00E965D5"/>
    <w:rsid w:val="00ED0DD2"/>
    <w:rsid w:val="00F03AAE"/>
    <w:rsid w:val="00F12804"/>
    <w:rsid w:val="00F578CB"/>
    <w:rsid w:val="00F81941"/>
    <w:rsid w:val="00FB3958"/>
    <w:rsid w:val="00FE3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27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93275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327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uiPriority w:val="99"/>
    <w:rsid w:val="00993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93275"/>
    <w:rPr>
      <w:color w:val="0000FF"/>
      <w:u w:val="single"/>
    </w:rPr>
  </w:style>
  <w:style w:type="paragraph" w:customStyle="1" w:styleId="ConsPlusNormal">
    <w:name w:val="ConsPlusNormal"/>
    <w:link w:val="ConsPlusNormal0"/>
    <w:rsid w:val="0099327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rsid w:val="00B24159"/>
    <w:pPr>
      <w:widowControl/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character" w:customStyle="1" w:styleId="ConsPlusNormal0">
    <w:name w:val="ConsPlusNormal Знак"/>
    <w:link w:val="ConsPlusNormal"/>
    <w:locked/>
    <w:rsid w:val="00B96F16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Heading1">
    <w:name w:val="Heading 1"/>
    <w:basedOn w:val="a"/>
    <w:uiPriority w:val="1"/>
    <w:qFormat/>
    <w:rsid w:val="0008185B"/>
    <w:pPr>
      <w:autoSpaceDE w:val="0"/>
      <w:autoSpaceDN w:val="0"/>
      <w:ind w:left="482"/>
      <w:outlineLvl w:val="1"/>
    </w:pPr>
    <w:rPr>
      <w:b/>
      <w:bCs/>
      <w:sz w:val="28"/>
      <w:szCs w:val="28"/>
      <w:lang w:bidi="ru-RU"/>
    </w:rPr>
  </w:style>
  <w:style w:type="paragraph" w:styleId="a5">
    <w:name w:val="Body Text"/>
    <w:basedOn w:val="a"/>
    <w:link w:val="a6"/>
    <w:uiPriority w:val="1"/>
    <w:qFormat/>
    <w:rsid w:val="00022CA2"/>
    <w:pPr>
      <w:autoSpaceDE w:val="0"/>
      <w:autoSpaceDN w:val="0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022CA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1"/>
    <w:qFormat/>
    <w:rsid w:val="00022CA2"/>
    <w:pPr>
      <w:autoSpaceDE w:val="0"/>
      <w:autoSpaceDN w:val="0"/>
      <w:ind w:left="302" w:right="120" w:firstLine="708"/>
      <w:jc w:val="both"/>
    </w:pPr>
    <w:rPr>
      <w:sz w:val="22"/>
      <w:szCs w:val="22"/>
      <w:lang w:bidi="ru-RU"/>
    </w:rPr>
  </w:style>
  <w:style w:type="paragraph" w:styleId="a8">
    <w:name w:val="footnote text"/>
    <w:basedOn w:val="a"/>
    <w:link w:val="a9"/>
    <w:semiHidden/>
    <w:rsid w:val="00B047CF"/>
    <w:pPr>
      <w:widowControl/>
    </w:pPr>
  </w:style>
  <w:style w:type="character" w:customStyle="1" w:styleId="a9">
    <w:name w:val="Текст сноски Знак"/>
    <w:basedOn w:val="a0"/>
    <w:link w:val="a8"/>
    <w:semiHidden/>
    <w:rsid w:val="00B047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B047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02224788195592C86B262757AF34235232F25856DD40FB94172821B1DCD1E0BE00486883B83ED45C1A3F2B66B7AF3C3A0B9C7096043BC1DB0A9F40REQE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Prime</dc:creator>
  <cp:lastModifiedBy>Kultura</cp:lastModifiedBy>
  <cp:revision>9</cp:revision>
  <cp:lastPrinted>2019-04-30T06:04:00Z</cp:lastPrinted>
  <dcterms:created xsi:type="dcterms:W3CDTF">2019-04-17T10:19:00Z</dcterms:created>
  <dcterms:modified xsi:type="dcterms:W3CDTF">2019-04-30T06:19:00Z</dcterms:modified>
</cp:coreProperties>
</file>