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Style w:val="731"/>
        <w:tblW w:w="9781" w:type="dxa"/>
        <w:tblInd w:w="-142" w:type="dxa"/>
        <w:tblBorders>
          <w:top w:val="none" w:color="auto" w:sz="0" w:space="0"/>
          <w:left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85"/>
        <w:gridCol w:w="1701"/>
        <w:gridCol w:w="423"/>
        <w:gridCol w:w="1137"/>
        <w:gridCol w:w="816"/>
        <w:gridCol w:w="4819"/>
      </w:tblGrid>
      <w:tr>
        <w:trPr>
          <w:trHeight w:val="1135" w:hRule="exact"/>
        </w:trPr>
        <w:tc>
          <w:tcPr>
            <w:gridSpan w:val="5"/>
            <w:tcW w:w="4962" w:type="dxa"/>
            <w:vMerge w:val="restart"/>
            <w:textDirection w:val="lrTb"/>
            <w:noWrap w:val="false"/>
          </w:tcPr>
          <w:p>
            <w:pPr>
              <w:rPr>
                <w:rFonts w:ascii="Times New Roman" w:hAnsi="Times New Roman" w:eastAsia="Calibri" w:cs="Times New Roman"/>
                <w:sz w:val="28"/>
              </w:rPr>
            </w:pPr>
            <w:r>
              <w:rPr>
                <w:rFonts w:ascii="Times New Roman" w:hAnsi="Times New Roman" w:eastAsia="Calibri" w:cs="Times New Roman"/>
                <w:sz w:val="28"/>
              </w:rPr>
            </w:r>
            <w:r/>
          </w:p>
          <w:p>
            <w:pPr>
              <w:ind w:left="113"/>
              <w:jc w:val="center"/>
              <w:tabs>
                <w:tab w:val="right" w:pos="4784" w:leader="none"/>
              </w:tabs>
              <w:rPr>
                <w:rFonts w:ascii="Times New Roman" w:hAnsi="Times New Roman" w:eastAsia="Calibri" w:cs="Times New Roman"/>
                <w:sz w:val="28"/>
                <w:szCs w:val="28"/>
              </w:rPr>
            </w:pPr>
            <w:r>
              <w:rPr>
                <w:rFonts w:ascii="Times New Roman" w:hAnsi="Times New Roman" w:eastAsia="Calibri" w:cs="Times New Roman"/>
                <w:sz w:val="28"/>
                <w:szCs w:val="28"/>
              </w:rPr>
            </w:r>
            <w:r/>
          </w:p>
        </w:tc>
        <w:tc>
          <w:tcPr>
            <w:tcBorders>
              <w:bottom w:val="none" w:color="000000" w:sz="4" w:space="0"/>
            </w:tcBorders>
            <w:tcW w:w="4819" w:type="dxa"/>
            <w:textDirection w:val="lrTb"/>
            <w:noWrap w:val="false"/>
          </w:tcPr>
          <w:p>
            <w:pPr>
              <w:spacing w:before="240"/>
              <w:rPr>
                <w:rFonts w:ascii="Times New Roman" w:hAnsi="Times New Roman" w:eastAsia="Calibri" w:cs="Times New Roman"/>
                <w:sz w:val="28"/>
                <w:szCs w:val="28"/>
              </w:rPr>
            </w:pPr>
            <w:r>
              <w:rPr>
                <w:rFonts w:ascii="Times New Roman" w:hAnsi="Times New Roman" w:eastAsia="Calibri" w:cs="Times New Roman"/>
                <w:sz w:val="28"/>
                <w:szCs w:val="28"/>
              </w:rPr>
            </w:r>
            <w:r/>
          </w:p>
        </w:tc>
      </w:tr>
      <w:tr>
        <w:trPr>
          <w:trHeight w:val="2705"/>
        </w:trPr>
        <w:tc>
          <w:tcPr>
            <w:gridSpan w:val="5"/>
            <w:tcW w:w="4962" w:type="dxa"/>
            <w:vMerge w:val="continue"/>
            <w:textDirection w:val="lrTb"/>
            <w:noWrap w:val="false"/>
          </w:tcPr>
          <w:p>
            <w:pPr>
              <w:ind w:left="113"/>
              <w:tabs>
                <w:tab w:val="right" w:pos="4784" w:leader="none"/>
              </w:tabs>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r>
            <w:r/>
          </w:p>
        </w:tc>
        <w:tc>
          <w:tcPr>
            <w:tcW w:w="4819" w:type="dxa"/>
            <w:vMerge w:val="restart"/>
            <w:textDirection w:val="lrTb"/>
            <w:noWrap w:val="false"/>
          </w:tcPr>
          <w:p>
            <w:pPr>
              <w:ind w:left="-78" w:right="178"/>
              <w:spacing w:line="240" w:lineRule="exact"/>
              <w:rPr>
                <w:rFonts w:ascii="Times New Roman" w:hAnsi="Times New Roman" w:eastAsia="Calibri" w:cs="Times New Roman"/>
                <w:sz w:val="28"/>
                <w:szCs w:val="28"/>
              </w:rPr>
            </w:pPr>
            <w:r>
              <w:rPr>
                <w:rFonts w:ascii="Times New Roman" w:hAnsi="Times New Roman" w:eastAsia="Calibri" w:cs="Times New Roman"/>
                <w:sz w:val="28"/>
                <w:szCs w:val="28"/>
              </w:rPr>
              <w:t xml:space="preserve">Главам администраций</w:t>
            </w:r>
            <w:r/>
          </w:p>
          <w:p>
            <w:pPr>
              <w:ind w:left="-78" w:right="178"/>
              <w:spacing w:line="240" w:lineRule="exact"/>
              <w:rPr>
                <w:rFonts w:ascii="Times New Roman" w:hAnsi="Times New Roman" w:eastAsia="Calibri" w:cs="Times New Roman"/>
                <w:sz w:val="28"/>
                <w:szCs w:val="28"/>
              </w:rPr>
            </w:pPr>
            <w:r>
              <w:rPr>
                <w:rFonts w:ascii="Times New Roman" w:hAnsi="Times New Roman" w:eastAsia="Calibri" w:cs="Times New Roman"/>
                <w:sz w:val="28"/>
                <w:szCs w:val="28"/>
              </w:rPr>
              <w:t xml:space="preserve">муниципальных образований  </w:t>
            </w:r>
            <w:r/>
          </w:p>
          <w:p>
            <w:pPr>
              <w:ind w:left="-78" w:right="178"/>
              <w:spacing w:line="240" w:lineRule="exact"/>
              <w:rPr>
                <w:rFonts w:ascii="Times New Roman" w:hAnsi="Times New Roman" w:eastAsia="Calibri" w:cs="Times New Roman"/>
                <w:sz w:val="28"/>
                <w:szCs w:val="28"/>
              </w:rPr>
            </w:pPr>
            <w:r>
              <w:rPr>
                <w:rFonts w:ascii="Times New Roman" w:hAnsi="Times New Roman" w:eastAsia="Calibri" w:cs="Times New Roman"/>
                <w:sz w:val="28"/>
                <w:szCs w:val="28"/>
              </w:rPr>
              <w:t xml:space="preserve">Мокшанского района </w:t>
            </w:r>
            <w:r/>
          </w:p>
          <w:p>
            <w:pPr>
              <w:ind w:left="-78" w:right="178"/>
              <w:spacing w:line="240" w:lineRule="exact"/>
              <w:rPr>
                <w:rFonts w:ascii="Times New Roman" w:hAnsi="Times New Roman" w:eastAsia="Calibri" w:cs="Times New Roman"/>
                <w:sz w:val="28"/>
                <w:szCs w:val="28"/>
              </w:rPr>
            </w:pPr>
            <w:r>
              <w:rPr>
                <w:rFonts w:ascii="Times New Roman" w:hAnsi="Times New Roman" w:eastAsia="Calibri" w:cs="Times New Roman"/>
                <w:sz w:val="28"/>
                <w:szCs w:val="28"/>
              </w:rPr>
              <w:t xml:space="preserve">Пензенской области </w:t>
            </w:r>
            <w:r/>
          </w:p>
          <w:p>
            <w:pPr>
              <w:ind w:left="-78" w:right="178"/>
              <w:spacing w:line="240" w:lineRule="exact"/>
              <w:rPr>
                <w:rFonts w:ascii="Times New Roman" w:hAnsi="Times New Roman" w:eastAsia="Calibri" w:cs="Times New Roman"/>
                <w:sz w:val="28"/>
                <w:szCs w:val="28"/>
              </w:rPr>
            </w:pPr>
            <w:r>
              <w:rPr>
                <w:rFonts w:ascii="Times New Roman" w:hAnsi="Times New Roman" w:eastAsia="Calibri" w:cs="Times New Roman"/>
                <w:sz w:val="28"/>
                <w:szCs w:val="28"/>
              </w:rPr>
            </w:r>
            <w:r/>
          </w:p>
        </w:tc>
      </w:tr>
      <w:tr>
        <w:trPr>
          <w:trHeight w:val="421"/>
        </w:trPr>
        <w:tc>
          <w:tcPr>
            <w:gridSpan w:val="5"/>
            <w:tcW w:w="4962" w:type="dxa"/>
            <w:textDirection w:val="lrTb"/>
            <w:noWrap w:val="false"/>
          </w:tcPr>
          <w:p>
            <w:pPr>
              <w:ind w:left="-71"/>
              <w:jc w:val="both"/>
              <w:spacing w:after="60"/>
              <w:rPr>
                <w:rFonts w:ascii="Times New Roman" w:hAnsi="Times New Roman" w:eastAsia="Calibri" w:cs="Times New Roman"/>
                <w:sz w:val="18"/>
                <w:szCs w:val="18"/>
              </w:rPr>
            </w:pPr>
            <w:r/>
            <w:bookmarkStart w:id="0" w:name="REGNUMDATESTAMP"/>
            <w:r>
              <w:rPr>
                <w:rFonts w:ascii="Times New Roman" w:hAnsi="Times New Roman" w:eastAsia="Calibri" w:cs="Times New Roman"/>
                <w:sz w:val="18"/>
                <w:szCs w:val="18"/>
              </w:rPr>
              <w:t xml:space="preserve">штамп регистрации</w:t>
            </w:r>
            <w:bookmarkEnd w:id="0"/>
            <w:r/>
            <w:r/>
          </w:p>
        </w:tc>
        <w:tc>
          <w:tcPr>
            <w:tcW w:w="4819" w:type="dxa"/>
            <w:vMerge w:val="continue"/>
            <w:textDirection w:val="lrTb"/>
            <w:noWrap w:val="false"/>
          </w:tcPr>
          <w:p>
            <w:pPr>
              <w:ind w:left="227"/>
              <w:spacing w:after="60"/>
              <w:rPr>
                <w:rFonts w:ascii="Times New Roman" w:hAnsi="Times New Roman" w:eastAsia="Calibri" w:cs="Times New Roman"/>
                <w:sz w:val="18"/>
              </w:rPr>
            </w:pPr>
            <w:r>
              <w:rPr>
                <w:rFonts w:ascii="Times New Roman" w:hAnsi="Times New Roman" w:eastAsia="Calibri" w:cs="Times New Roman"/>
                <w:sz w:val="18"/>
              </w:rPr>
            </w:r>
            <w:r/>
          </w:p>
        </w:tc>
      </w:tr>
      <w:tr>
        <w:trPr>
          <w:trHeight w:val="553" w:hRule="exact"/>
        </w:trPr>
        <w:tc>
          <w:tcPr>
            <w:tcBorders>
              <w:bottom w:val="none" w:color="000000" w:sz="4" w:space="0"/>
            </w:tcBorders>
            <w:tcW w:w="885" w:type="dxa"/>
            <w:textDirection w:val="lrTb"/>
            <w:noWrap w:val="false"/>
          </w:tcPr>
          <w:p>
            <w:pPr>
              <w:rPr>
                <w:rFonts w:ascii="Times New Roman" w:hAnsi="Times New Roman" w:eastAsia="Calibri" w:cs="Times New Roman"/>
                <w:sz w:val="18"/>
              </w:rPr>
            </w:pPr>
            <w:r>
              <w:rPr>
                <w:rFonts w:ascii="Times New Roman" w:hAnsi="Times New Roman" w:eastAsia="Calibri" w:cs="Times New Roman"/>
                <w:sz w:val="18"/>
              </w:rPr>
              <w:t xml:space="preserve">На №</w:t>
            </w:r>
            <w:r/>
          </w:p>
        </w:tc>
        <w:tc>
          <w:tcPr>
            <w:tcBorders>
              <w:bottom w:val="single" w:color="auto" w:sz="4" w:space="0"/>
            </w:tcBorders>
            <w:tcMar>
              <w:left w:w="0" w:type="dxa"/>
              <w:right w:w="0" w:type="dxa"/>
            </w:tcMar>
            <w:tcW w:w="1701" w:type="dxa"/>
            <w:textDirection w:val="lrTb"/>
            <w:noWrap w:val="false"/>
          </w:tcPr>
          <w:p>
            <w:pPr>
              <w:jc w:val="center"/>
              <w:rPr>
                <w:rFonts w:ascii="Times New Roman" w:hAnsi="Times New Roman" w:eastAsia="Calibri" w:cs="Times New Roman"/>
                <w:sz w:val="18"/>
              </w:rPr>
            </w:pPr>
            <w:r/>
            <w:bookmarkStart w:id="1" w:name="_GoBack"/>
            <w:r/>
            <w:bookmarkEnd w:id="1"/>
            <w:r/>
            <w:r/>
          </w:p>
        </w:tc>
        <w:tc>
          <w:tcPr>
            <w:tcBorders>
              <w:bottom w:val="none" w:color="000000" w:sz="4" w:space="0"/>
            </w:tcBorders>
            <w:tcW w:w="423" w:type="dxa"/>
            <w:textDirection w:val="lrTb"/>
            <w:noWrap w:val="false"/>
          </w:tcPr>
          <w:p>
            <w:pPr>
              <w:jc w:val="center"/>
              <w:rPr>
                <w:rFonts w:ascii="Times New Roman" w:hAnsi="Times New Roman" w:eastAsia="Calibri" w:cs="Times New Roman"/>
                <w:sz w:val="18"/>
              </w:rPr>
            </w:pPr>
            <w:r>
              <w:rPr>
                <w:rFonts w:ascii="Times New Roman" w:hAnsi="Times New Roman" w:eastAsia="Calibri" w:cs="Times New Roman"/>
                <w:sz w:val="18"/>
              </w:rPr>
              <w:t xml:space="preserve">от</w:t>
            </w:r>
            <w:r/>
          </w:p>
        </w:tc>
        <w:tc>
          <w:tcPr>
            <w:tcBorders>
              <w:bottom w:val="single" w:color="auto" w:sz="4" w:space="0"/>
            </w:tcBorders>
            <w:tcW w:w="1137" w:type="dxa"/>
            <w:textDirection w:val="lrTb"/>
            <w:noWrap w:val="false"/>
          </w:tcPr>
          <w:p>
            <w:pPr>
              <w:jc w:val="center"/>
              <w:rPr>
                <w:rFonts w:ascii="Times New Roman" w:hAnsi="Times New Roman" w:eastAsia="Calibri" w:cs="Times New Roman"/>
                <w:sz w:val="18"/>
                <w:lang w:val="en-US"/>
              </w:rPr>
            </w:pPr>
            <w:r>
              <w:rPr>
                <w:rFonts w:ascii="Times New Roman" w:hAnsi="Times New Roman" w:eastAsia="Calibri" w:cs="Times New Roman"/>
                <w:sz w:val="18"/>
                <w:lang w:val="en-US"/>
              </w:rPr>
            </w:r>
            <w:r/>
          </w:p>
        </w:tc>
        <w:tc>
          <w:tcPr>
            <w:tcBorders>
              <w:bottom w:val="none" w:color="000000" w:sz="4" w:space="0"/>
            </w:tcBorders>
            <w:tcW w:w="816" w:type="dxa"/>
            <w:textDirection w:val="lrTb"/>
            <w:noWrap w:val="false"/>
          </w:tcPr>
          <w:p>
            <w:pPr>
              <w:jc w:val="center"/>
              <w:rPr>
                <w:rFonts w:ascii="Times New Roman" w:hAnsi="Times New Roman" w:eastAsia="Calibri" w:cs="Times New Roman"/>
                <w:sz w:val="18"/>
              </w:rPr>
            </w:pPr>
            <w:r>
              <w:rPr>
                <w:rFonts w:ascii="Times New Roman" w:hAnsi="Times New Roman" w:eastAsia="Calibri" w:cs="Times New Roman"/>
                <w:sz w:val="18"/>
              </w:rPr>
            </w:r>
            <w:r/>
          </w:p>
        </w:tc>
        <w:tc>
          <w:tcPr>
            <w:tcW w:w="4819" w:type="dxa"/>
            <w:textDirection w:val="lrTb"/>
            <w:noWrap w:val="false"/>
          </w:tcPr>
          <w:p>
            <w:pPr>
              <w:rPr>
                <w:rFonts w:ascii="Times New Roman" w:hAnsi="Times New Roman" w:eastAsia="Calibri" w:cs="Times New Roman"/>
                <w:sz w:val="18"/>
              </w:rPr>
            </w:pPr>
            <w:r>
              <w:rPr>
                <w:rFonts w:ascii="Times New Roman" w:hAnsi="Times New Roman" w:eastAsia="Calibri" w:cs="Times New Roman"/>
                <w:sz w:val="18"/>
              </w:rPr>
            </w:r>
            <w:r/>
          </w:p>
        </w:tc>
      </w:tr>
      <w:tr>
        <w:trPr>
          <w:trHeight w:val="20"/>
        </w:trPr>
        <w:tc>
          <w:tcPr>
            <w:tcBorders>
              <w:bottom w:val="none" w:color="000000" w:sz="4" w:space="0"/>
            </w:tcBorders>
            <w:tcW w:w="885"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tcBorders>
              <w:bottom w:val="none" w:color="000000" w:sz="4" w:space="0"/>
            </w:tcBorders>
            <w:tcW w:w="1701"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tcBorders>
              <w:bottom w:val="none" w:color="000000" w:sz="4" w:space="0"/>
            </w:tcBorders>
            <w:tcW w:w="423"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gridSpan w:val="2"/>
            <w:tcBorders>
              <w:bottom w:val="none" w:color="000000" w:sz="4" w:space="0"/>
            </w:tcBorders>
            <w:tcW w:w="1953"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tcW w:w="4819" w:type="dxa"/>
            <w:vMerge w:val="restart"/>
            <w:textDirection w:val="lrTb"/>
            <w:noWrap w:val="false"/>
          </w:tcPr>
          <w:p>
            <w:pPr>
              <w:rPr>
                <w:rFonts w:ascii="Times New Roman" w:hAnsi="Times New Roman" w:eastAsia="Calibri" w:cs="Times New Roman"/>
                <w:sz w:val="28"/>
                <w:szCs w:val="28"/>
              </w:rPr>
            </w:pPr>
            <w:r>
              <w:rPr>
                <w:rFonts w:ascii="Times New Roman" w:hAnsi="Times New Roman" w:eastAsia="Calibri" w:cs="Times New Roman"/>
                <w:sz w:val="28"/>
                <w:szCs w:val="28"/>
              </w:rPr>
            </w:r>
            <w:r/>
          </w:p>
        </w:tc>
      </w:tr>
      <w:tr>
        <w:trPr>
          <w:trHeight w:val="20"/>
        </w:trPr>
        <w:tc>
          <w:tcPr>
            <w:tcBorders>
              <w:top w:val="none" w:color="000000" w:sz="4" w:space="0"/>
              <w:bottom w:val="none" w:color="000000" w:sz="4" w:space="0"/>
            </w:tcBorders>
            <w:tcW w:w="885"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tcBorders>
              <w:top w:val="none" w:color="000000" w:sz="4" w:space="0"/>
              <w:bottom w:val="none" w:color="000000" w:sz="4" w:space="0"/>
            </w:tcBorders>
            <w:tcW w:w="1701"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tcBorders>
              <w:top w:val="none" w:color="000000" w:sz="4" w:space="0"/>
              <w:bottom w:val="none" w:color="000000" w:sz="4" w:space="0"/>
            </w:tcBorders>
            <w:tcW w:w="423"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gridSpan w:val="2"/>
            <w:tcBorders>
              <w:top w:val="none" w:color="000000" w:sz="4" w:space="0"/>
              <w:bottom w:val="none" w:color="000000" w:sz="4" w:space="0"/>
            </w:tcBorders>
            <w:tcW w:w="1953" w:type="dxa"/>
            <w:textDirection w:val="lrTb"/>
            <w:noWrap w:val="false"/>
          </w:tcPr>
          <w:p>
            <w:pPr>
              <w:jc w:val="center"/>
              <w:rPr>
                <w:rFonts w:ascii="Times New Roman" w:hAnsi="Times New Roman" w:eastAsia="Calibri" w:cs="Times New Roman"/>
                <w:color w:val="d9d9d9"/>
                <w:sz w:val="10"/>
                <w:szCs w:val="10"/>
              </w:rPr>
            </w:pPr>
            <w:r>
              <w:rPr>
                <w:rFonts w:ascii="Times New Roman" w:hAnsi="Times New Roman" w:eastAsia="Calibri" w:cs="Times New Roman"/>
                <w:color w:val="d9d9d9"/>
                <w:sz w:val="10"/>
                <w:szCs w:val="10"/>
              </w:rPr>
            </w:r>
            <w:r/>
          </w:p>
        </w:tc>
        <w:tc>
          <w:tcPr>
            <w:tcBorders>
              <w:bottom w:val="none" w:color="000000" w:sz="4" w:space="0"/>
            </w:tcBorders>
            <w:tcW w:w="4819" w:type="dxa"/>
            <w:vMerge w:val="continue"/>
            <w:textDirection w:val="lrTb"/>
            <w:noWrap w:val="false"/>
          </w:tcPr>
          <w:p>
            <w:pPr>
              <w:rPr>
                <w:rFonts w:ascii="Times New Roman" w:hAnsi="Times New Roman" w:eastAsia="Calibri" w:cs="Times New Roman"/>
                <w:sz w:val="28"/>
                <w:szCs w:val="28"/>
              </w:rPr>
            </w:pPr>
            <w:r>
              <w:rPr>
                <w:rFonts w:ascii="Times New Roman" w:hAnsi="Times New Roman" w:eastAsia="Calibri" w:cs="Times New Roman"/>
                <w:sz w:val="28"/>
                <w:szCs w:val="28"/>
              </w:rPr>
            </w:r>
            <w:r/>
          </w:p>
        </w:tc>
      </w:tr>
    </w:tbl>
    <w:p>
      <w:pPr>
        <w:spacing w:after="0" w:line="240" w:lineRule="auto"/>
        <w:rPr>
          <w:rFonts w:ascii="Times New Roman" w:hAnsi="Times New Roman" w:eastAsia="Calibri" w:cs="Times New Roman"/>
          <w:sz w:val="28"/>
          <w:szCs w:val="28"/>
        </w:rPr>
      </w:pPr>
      <w:r>
        <w:rPr>
          <w:rFonts w:ascii="Times New Roman" w:hAnsi="Times New Roman" w:eastAsia="Calibri" w:cs="Times New Roman"/>
          <w:sz w:val="28"/>
          <w:szCs w:val="28"/>
        </w:rPr>
      </w:r>
      <w:r/>
    </w:p>
    <w:p>
      <w:pPr>
        <w:jc w:val="both"/>
        <w:spacing w:after="0" w:line="240" w:lineRule="exact"/>
        <w:rPr>
          <w:rFonts w:ascii="Times New Roman" w:hAnsi="Times New Roman" w:eastAsia="Calibri" w:cs="Times New Roman"/>
          <w:b/>
          <w:sz w:val="28"/>
          <w:szCs w:val="28"/>
        </w:rPr>
      </w:pPr>
      <w:r>
        <w:rPr>
          <w:rFonts w:ascii="Times New Roman" w:hAnsi="Times New Roman" w:eastAsia="Calibri" w:cs="Times New Roman"/>
          <w:b/>
          <w:sz w:val="28"/>
          <w:szCs w:val="28"/>
        </w:rPr>
        <w:t xml:space="preserve">ИНФОРМАЦИЯ</w:t>
      </w:r>
      <w:r/>
    </w:p>
    <w:p>
      <w:pPr>
        <w:ind w:right="4534"/>
        <w:jc w:val="both"/>
        <w:spacing w:after="0" w:line="240" w:lineRule="exac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p>
    <w:p>
      <w:pPr>
        <w:ind w:right="4534"/>
        <w:jc w:val="both"/>
        <w:spacing w:after="0" w:line="240" w:lineRule="exac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Для размещения на официальном интернет-сайте и в информационном бюллетене</w:t>
      </w:r>
      <w:r/>
    </w:p>
    <w:p>
      <w:pPr>
        <w:ind w:firstLine="720"/>
        <w:jc w:val="both"/>
        <w:spacing w:after="0" w:line="240" w:lineRule="auto"/>
        <w:rPr>
          <w:rFonts w:ascii="Times New Roman" w:hAnsi="Times New Roman" w:eastAsia="Times New Roman" w:cs="Times New Roman"/>
          <w:sz w:val="28"/>
          <w:szCs w:val="24"/>
          <w:lang w:eastAsia="ru-RU"/>
        </w:rPr>
      </w:pPr>
      <w:r/>
      <w:bookmarkStart w:id="2" w:name="_Hlk122105023"/>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r>
      <w:r/>
    </w:p>
    <w:p>
      <w:pPr>
        <w:ind w:firstLine="720"/>
        <w:jc w:val="both"/>
        <w:spacing w:after="0" w:line="240" w:lineRule="auto"/>
        <w:rPr>
          <w:rFonts w:ascii="Times New Roman" w:hAnsi="Times New Roman" w:eastAsia="Times New Roman" w:cs="Times New Roman"/>
          <w:sz w:val="28"/>
          <w:szCs w:val="24"/>
          <w:lang w:eastAsia="ru-RU"/>
        </w:rPr>
      </w:pPr>
      <w:r/>
      <w:bookmarkStart w:id="3" w:name="_Hlk135163894"/>
      <w:r>
        <w:rPr>
          <w:rFonts w:ascii="Times New Roman" w:hAnsi="Times New Roman" w:eastAsia="Times New Roman" w:cs="Times New Roman"/>
          <w:sz w:val="28"/>
          <w:szCs w:val="24"/>
          <w:lang w:eastAsia="ru-RU"/>
        </w:rPr>
        <w:t xml:space="preserve">Направляю Вам для размещения в информационном бюллетене                                     и на официальном сайте администрации муниципального образования следующую разъяснительную информацию: </w:t>
      </w: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С 1 марта 2023 года введены новые правила учёта животных</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Постановлением Правительства РФ от 5 апреля 2023 года № 550 утверждены</w:t>
      </w:r>
      <w:r>
        <w:rPr>
          <w:rFonts w:ascii="Times New Roman" w:hAnsi="Times New Roman" w:eastAsia="Times New Roman" w:cs="Times New Roman"/>
          <w:sz w:val="28"/>
          <w:szCs w:val="24"/>
          <w:lang w:eastAsia="ru-RU"/>
        </w:rPr>
        <w:t xml:space="preserve"> Правила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Домашнюю птицу, пушных зверей, оленей, верблюдов, пчел, объекты </w:t>
      </w:r>
      <w:r>
        <w:rPr>
          <w:rFonts w:ascii="Times New Roman" w:hAnsi="Times New Roman" w:eastAsia="Times New Roman" w:cs="Times New Roman"/>
          <w:sz w:val="28"/>
          <w:szCs w:val="24"/>
          <w:lang w:eastAsia="ru-RU"/>
        </w:rPr>
        <w:t xml:space="preserve">аквакультуры</w:t>
      </w:r>
      <w:r>
        <w:rPr>
          <w:rFonts w:ascii="Times New Roman" w:hAnsi="Times New Roman" w:eastAsia="Times New Roman" w:cs="Times New Roman"/>
          <w:sz w:val="28"/>
          <w:szCs w:val="24"/>
          <w:lang w:eastAsia="ru-RU"/>
        </w:rPr>
        <w:t xml:space="preserve"> животного происхождения, крупный рогатый скот и ряд других животных решено отнести к подлежащим индивидуальному или групповому маркированию и учету.</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Данные процедуры необходимы для предотвращения распространения заразных болезней животных, а также выявления источников и путей распространения возбудителей болезней.</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Правилами определены порядок, случаи и сроки учета. Например, пчелы подлежат групповому маркированию и учету не позднее 1 сентября 2025 г., а крупный рогатый скот - индивидуальному не позднее 1 сентября 2024 г.</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Учет осуществляется безвозмездно путем представления информации о маркированном животном в ГИС в области ветеринарии.</w:t>
      </w: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r>
      <w:r/>
    </w:p>
    <w:p>
      <w:pPr>
        <w:ind w:firstLine="720"/>
        <w:jc w:val="both"/>
        <w:spacing w:after="0" w:line="240" w:lineRule="auto"/>
        <w:rPr>
          <w:rFonts w:ascii="Times New Roman" w:hAnsi="Times New Roman" w:eastAsia="Times New Roman" w:cs="Times New Roman"/>
          <w:b/>
          <w:bCs/>
          <w:sz w:val="28"/>
          <w:szCs w:val="28"/>
          <w:lang w:eastAsia="ru-RU"/>
        </w:rPr>
      </w:pPr>
      <w:r>
        <w:rPr>
          <w:rFonts w:ascii="Times New Roman" w:hAnsi="Times New Roman" w:eastAsia="Times New Roman" w:cs="Times New Roman"/>
          <w:b/>
          <w:sz w:val="28"/>
          <w:szCs w:val="24"/>
          <w:lang w:eastAsia="ru-RU"/>
        </w:rPr>
      </w:r>
      <w:r>
        <w:rPr>
          <w:rFonts w:ascii="Times New Roman" w:hAnsi="Times New Roman" w:eastAsia="Times New Roman" w:cs="Times New Roman"/>
          <w:b/>
          <w:sz w:val="28"/>
          <w:szCs w:val="24"/>
          <w:lang w:eastAsia="ru-RU"/>
        </w:rPr>
      </w:r>
    </w:p>
    <w:p>
      <w:pPr>
        <w:ind w:firstLine="720"/>
        <w:jc w:val="both"/>
        <w:spacing w:after="0" w:line="240" w:lineRule="auto"/>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r>
      <w:r>
        <w:rPr>
          <w:rFonts w:ascii="Times New Roman" w:hAnsi="Times New Roman" w:eastAsia="Times New Roman" w:cs="Times New Roman"/>
          <w:b/>
          <w:bCs/>
          <w:sz w:val="28"/>
          <w:szCs w:val="28"/>
          <w:lang w:eastAsia="ru-RU"/>
        </w:rPr>
      </w:r>
    </w:p>
    <w:p>
      <w:pPr>
        <w:ind w:firstLine="720"/>
        <w:jc w:val="both"/>
        <w:spacing w:after="0" w:line="240" w:lineRule="auto"/>
        <w:rPr>
          <w:rFonts w:ascii="Times New Roman" w:hAnsi="Times New Roman" w:eastAsia="Times New Roman" w:cs="Times New Roman"/>
          <w:b/>
          <w:bCs/>
          <w:sz w:val="28"/>
          <w:szCs w:val="28"/>
          <w:lang w:eastAsia="ru-RU"/>
        </w:rPr>
      </w:pPr>
      <w:r>
        <w:rPr>
          <w:rFonts w:ascii="Times New Roman" w:hAnsi="Times New Roman" w:eastAsia="Times New Roman" w:cs="Times New Roman"/>
          <w:b/>
          <w:sz w:val="28"/>
          <w:szCs w:val="24"/>
          <w:lang w:eastAsia="ru-RU"/>
        </w:rPr>
      </w: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Определены категории лиц, которым не может быть назначено наказание в виде принудительных работ</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Федеральным законом от 03.04.2023 № 111-ФЗ внесены изменения в часть 7 статьи 53.1 Уголовного кодекса Российской Федерации. Изменения коснулись определения лиц, которым не может быть назначено наказание в виде принудительных работ.</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Принудительные работы прим</w:t>
      </w:r>
      <w:r>
        <w:rPr>
          <w:rFonts w:ascii="Times New Roman" w:hAnsi="Times New Roman" w:eastAsia="Times New Roman" w:cs="Times New Roman"/>
          <w:sz w:val="28"/>
          <w:szCs w:val="24"/>
          <w:lang w:eastAsia="ru-RU"/>
        </w:rPr>
        <w:t xml:space="preserve">еняются как альтернатива лишению свободы в случаях, предусмотренных соответствующими статьями Особенной части Уголовного кодекса Российской Федерации, за совершение преступления небольшой или средней тяжести либо за совершение тяжкого преступления впервые.</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Если, </w:t>
      </w:r>
      <w:r>
        <w:rPr>
          <w:rFonts w:ascii="Times New Roman" w:hAnsi="Times New Roman" w:eastAsia="Times New Roman" w:cs="Times New Roman"/>
          <w:sz w:val="28"/>
          <w:szCs w:val="24"/>
          <w:lang w:eastAsia="ru-RU"/>
        </w:rPr>
        <w:t xml:space="preserve">назначив наказание в виде лишения свободы,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работами.</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Принудительные работы заключаются в привлечении осужденного к труду в местах, определяемых учреждениями и органами уголовно-исполнительной системы.</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Согласно новой редакции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лицам, достигшим возраста, дающего право на н</w:t>
      </w:r>
      <w:r>
        <w:rPr>
          <w:rFonts w:ascii="Times New Roman" w:hAnsi="Times New Roman" w:eastAsia="Times New Roman" w:cs="Times New Roman"/>
          <w:sz w:val="28"/>
          <w:szCs w:val="24"/>
          <w:lang w:eastAsia="ru-RU"/>
        </w:rPr>
        <w:t xml:space="preserve">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выполненным в порядке, установленном федеральными законами</w:t>
      </w:r>
      <w:r>
        <w:rPr>
          <w:rFonts w:ascii="Times New Roman" w:hAnsi="Times New Roman" w:eastAsia="Times New Roman" w:cs="Times New Roman"/>
          <w:sz w:val="28"/>
          <w:szCs w:val="24"/>
          <w:lang w:eastAsia="ru-RU"/>
        </w:rPr>
        <w:t xml:space="preserve"> и иными нормативными правовыми актами Российской Федерации.</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С 1 мая 2023 года доставка страховой пенсии, выплачиваемой наличными средствами, будет производиться только организациями федеральной почтовой связи</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Федеральным законом от 18.03.2023 № 76-ФЗ внесены изменения в Федеральный закон «О почтовой связи» и отдельные законодательные акты Российской Федерации.</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Предусмотрены два способа доставки страховой пенсии по выбору пенсионера: через</w:t>
      </w:r>
      <w:r>
        <w:rPr>
          <w:rFonts w:ascii="Times New Roman" w:hAnsi="Times New Roman" w:eastAsia="Times New Roman" w:cs="Times New Roman"/>
          <w:sz w:val="28"/>
          <w:szCs w:val="24"/>
          <w:lang w:eastAsia="ru-RU"/>
        </w:rPr>
        <w:t xml:space="preserve"> кредитную организацию путем зачисления сумм страховой пенсии на счет пенсионера в этой кредитной организации либо через организации федеральной почтовой связи путем вручения сумм страховой пенсии на дому или в кассе организации федеральной почтовой связи.</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Законом исключена обязанность АО «Почта России» проводить идентификацию клиента - физического лица при осуществлении почтовых переводов в пользу юри</w:t>
      </w:r>
      <w:r>
        <w:rPr>
          <w:rFonts w:ascii="Times New Roman" w:hAnsi="Times New Roman" w:eastAsia="Times New Roman" w:cs="Times New Roman"/>
          <w:sz w:val="28"/>
          <w:szCs w:val="24"/>
          <w:lang w:eastAsia="ru-RU"/>
        </w:rPr>
        <w:t xml:space="preserve">дических лиц и ИП в целях оплаты товаров, работ и услуг, а также в пользу органов государственной власти и органов местного самоуправления и учреждений, находящихся в их ведении, если сумма денежных средств по почтовому переводу не превышает 15 000 рублей.</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Кроме этого уточнено, что к организациям федеральной почтовой связи относятся также иные организации почтовой связи, перечень которых </w:t>
      </w:r>
      <w:r>
        <w:rPr>
          <w:rFonts w:ascii="Times New Roman" w:hAnsi="Times New Roman" w:eastAsia="Times New Roman" w:cs="Times New Roman"/>
          <w:sz w:val="28"/>
          <w:szCs w:val="24"/>
          <w:lang w:eastAsia="ru-RU"/>
        </w:rPr>
        <w:t xml:space="preserve">определит Правительство, и установлен запрет на реализацию государственных знаков почтовой оплаты ниже их номинальной стоимости.</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Многодетные семьи вправе получить бесплатно в собственность земельный участок</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Право на бесплатное предоставление гражданам, имеющим трех и более д</w:t>
      </w:r>
      <w:r>
        <w:rPr>
          <w:rFonts w:ascii="Times New Roman" w:hAnsi="Times New Roman" w:eastAsia="Times New Roman" w:cs="Times New Roman"/>
          <w:sz w:val="28"/>
          <w:szCs w:val="24"/>
          <w:lang w:eastAsia="ru-RU"/>
        </w:rPr>
        <w:t xml:space="preserve">етей, земельных участков закреплено п. 6 ст. 39.5 Земельного кодекса Российской Федерации, п.п. 5 ч. 1 ст. 13 Закона Воронежской области от 13.05.2008 № 25-ОЗ «О регулировании земельных отношений на территории Воронежской области» (далее – Закон № 25-ОЗ).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Орган</w:t>
      </w:r>
      <w:r>
        <w:rPr>
          <w:rFonts w:ascii="Times New Roman" w:hAnsi="Times New Roman" w:eastAsia="Times New Roman" w:cs="Times New Roman"/>
          <w:sz w:val="28"/>
          <w:szCs w:val="24"/>
          <w:lang w:eastAsia="ru-RU"/>
        </w:rPr>
        <w:t xml:space="preserve">ами, уполномоченными на предоставление многодетным гражданам земельных участков, являются органы местного самоуправления (в районах области), а также департамент имущественных и земельных отношений Воронежской области (в городском округе – город Воронеж).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включенным в Реестр многодетных граждан, имеющих право на</w:t>
      </w:r>
      <w:r>
        <w:rPr>
          <w:rFonts w:ascii="Times New Roman" w:hAnsi="Times New Roman" w:eastAsia="Times New Roman" w:cs="Times New Roman"/>
          <w:sz w:val="28"/>
          <w:szCs w:val="24"/>
          <w:lang w:eastAsia="ru-RU"/>
        </w:rPr>
        <w:t xml:space="preserve"> бесплатное предоставление земельных участков в соответствии с настоящим Законом Воронежской области, на основании заявления о предоставлении земельного участка, которое подается одним из родителей, опекуном (попечителем) в уполномоченные органы в пределах</w:t>
      </w:r>
      <w:r>
        <w:rPr>
          <w:rFonts w:ascii="Times New Roman" w:hAnsi="Times New Roman" w:eastAsia="Times New Roman" w:cs="Times New Roman"/>
          <w:sz w:val="28"/>
          <w:szCs w:val="24"/>
          <w:lang w:eastAsia="ru-RU"/>
        </w:rPr>
        <w:t xml:space="preserve"> их компетенции по месту постоянного проживания заявителя.</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В</w:t>
      </w:r>
      <w:r>
        <w:rPr>
          <w:rFonts w:ascii="Times New Roman" w:hAnsi="Times New Roman" w:eastAsia="Times New Roman" w:cs="Times New Roman"/>
          <w:sz w:val="28"/>
          <w:szCs w:val="24"/>
          <w:lang w:eastAsia="ru-RU"/>
        </w:rPr>
        <w:t xml:space="preserve"> заявлении указывается цель использования земельного участка (индивидуальное жилищное строительство; ведение садоводства; ведение огородничества; ведение личного подсобного хозяйства), а также сведения о ранее предоставленных бесплатно земельных участках.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С 2021 г. земельные участки предоставляются только в случае признания граждан нуждающимися в жилых помещениях в соответствии со ст. 51 Жилищного кодекса Российской Федерации.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Порядок ведения реестра </w:t>
      </w:r>
      <w:r>
        <w:rPr>
          <w:rFonts w:ascii="Times New Roman" w:hAnsi="Times New Roman" w:eastAsia="Times New Roman" w:cs="Times New Roman"/>
          <w:sz w:val="28"/>
          <w:szCs w:val="24"/>
          <w:lang w:eastAsia="ru-RU"/>
        </w:rPr>
        <w:t xml:space="preserve">многодетных граждан, имеющих право на бесплатное предоставление земельных участков на территории Воронежской области утвержден</w:t>
      </w:r>
      <w:r>
        <w:rPr>
          <w:rFonts w:ascii="Times New Roman" w:hAnsi="Times New Roman" w:eastAsia="Times New Roman" w:cs="Times New Roman"/>
          <w:sz w:val="28"/>
          <w:szCs w:val="24"/>
          <w:lang w:eastAsia="ru-RU"/>
        </w:rPr>
        <w:t xml:space="preserve"> постановлением Правительства Воронежской области от 25.09.2012 № 845.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Порядок </w:t>
      </w:r>
      <w:r>
        <w:rPr>
          <w:rFonts w:ascii="Times New Roman" w:hAnsi="Times New Roman" w:eastAsia="Times New Roman" w:cs="Times New Roman"/>
          <w:sz w:val="28"/>
          <w:szCs w:val="24"/>
          <w:lang w:eastAsia="ru-RU"/>
        </w:rPr>
        <w:t xml:space="preserve">формирования и ведения перечня земельных участков, подлежащих бесплатному предоставлению в собственность граждан, имеющих трех и более детей, на территории Воронежской области утвержден постановлением Правительства Воронежской области от 03.10.2012 № 886.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Распределение земельных участков многодетным гражданам осуществляется исходя из даты постановки на очередь. Наряду с этим </w:t>
      </w:r>
      <w:r>
        <w:rPr>
          <w:rFonts w:ascii="Times New Roman" w:hAnsi="Times New Roman" w:eastAsia="Times New Roman" w:cs="Times New Roman"/>
          <w:sz w:val="28"/>
          <w:szCs w:val="24"/>
          <w:lang w:eastAsia="ru-RU"/>
        </w:rPr>
        <w:t xml:space="preserve">ч</w:t>
      </w:r>
      <w:r>
        <w:rPr>
          <w:rFonts w:ascii="Times New Roman" w:hAnsi="Times New Roman" w:eastAsia="Times New Roman" w:cs="Times New Roman"/>
          <w:sz w:val="28"/>
          <w:szCs w:val="24"/>
          <w:lang w:eastAsia="ru-RU"/>
        </w:rPr>
        <w:t xml:space="preserve">. 10.1 ст. 13.1 Закона № 25-ОЗ допускает самостоятельное фо</w:t>
      </w:r>
      <w:r>
        <w:rPr>
          <w:rFonts w:ascii="Times New Roman" w:hAnsi="Times New Roman" w:eastAsia="Times New Roman" w:cs="Times New Roman"/>
          <w:sz w:val="28"/>
          <w:szCs w:val="24"/>
          <w:lang w:eastAsia="ru-RU"/>
        </w:rPr>
        <w:t xml:space="preserve">рмирование многодетными гражданами земельных участков для бесплатного предоставления в собственность. При этом формируемые участки должны отвечать требованиям земельного, градостроительного законодательства, санитарным и противопожарным нормам и правилам.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Законом № 25-ОЗ установлено право многодетных граждан на получение с их согласия единовременной денежной выплаты в размере 200 тыс. руб. </w:t>
      </w:r>
      <w:r>
        <w:rPr>
          <w:rFonts w:ascii="Times New Roman" w:hAnsi="Times New Roman" w:eastAsia="Times New Roman" w:cs="Times New Roman"/>
          <w:sz w:val="28"/>
          <w:szCs w:val="24"/>
          <w:lang w:eastAsia="ru-RU"/>
        </w:rPr>
        <w:t xml:space="preserve">взамен предоставления земельного участка в собственность бесплатно. Выплата должн</w:t>
      </w:r>
      <w:r>
        <w:rPr>
          <w:rFonts w:ascii="Times New Roman" w:hAnsi="Times New Roman" w:eastAsia="Times New Roman" w:cs="Times New Roman"/>
          <w:sz w:val="28"/>
          <w:szCs w:val="24"/>
          <w:lang w:eastAsia="ru-RU"/>
        </w:rPr>
        <w:t xml:space="preserve">а быть направлена на улучшение жилищных условий многодетной семьи, в том числе на приобретение, строительство, реконструкцию жилья, погашение кредита на указанные цели, оплату ремонта жилого помещения, подключение сетям инженерно-технического обеспечения (</w:t>
      </w:r>
      <w:r>
        <w:rPr>
          <w:rFonts w:ascii="Times New Roman" w:hAnsi="Times New Roman" w:eastAsia="Times New Roman" w:cs="Times New Roman"/>
          <w:sz w:val="28"/>
          <w:szCs w:val="24"/>
          <w:lang w:eastAsia="ru-RU"/>
        </w:rPr>
        <w:t xml:space="preserve">ч</w:t>
      </w:r>
      <w:r>
        <w:rPr>
          <w:rFonts w:ascii="Times New Roman" w:hAnsi="Times New Roman" w:eastAsia="Times New Roman" w:cs="Times New Roman"/>
          <w:sz w:val="28"/>
          <w:szCs w:val="24"/>
          <w:lang w:eastAsia="ru-RU"/>
        </w:rPr>
        <w:t xml:space="preserve">. 16 ст. 13.1 Закона № 25-ОЗ). </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Порядок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 установлен постановлением Правительства Воронежской области от 11.05.2021 № 259.</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Установлены новые правила организации отдыха детей</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Федеральным законом от 03.04.2023 № 96-ФЗ внесены изменения в законодательство в сфере отдыха и оздоровления детей. Детские лагеря и центры смогут ограничивать доступ посторонних лиц на свои пляжные территории.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В Федеральном законе от 24 июля 1998 года № 124-ФЗ «Об основных гарантиях прав ребенка в Российской Федерации» зак</w:t>
      </w:r>
      <w:r>
        <w:rPr>
          <w:rFonts w:ascii="Times New Roman" w:hAnsi="Times New Roman" w:eastAsia="Times New Roman" w:cs="Times New Roman"/>
          <w:sz w:val="28"/>
          <w:szCs w:val="24"/>
          <w:lang w:eastAsia="ru-RU"/>
        </w:rPr>
        <w:t xml:space="preserve">реплено понятие «территория организации отдыха детей и их оздоровления». Это земельные участки и водные объекты, предоставленные (приобретенные) соответствующей организацией в установленном порядке, в том числе в границах береговой полосы водных объектов.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Организации отдыха детей и их оздоровления смогут использовать акваторию водных объектов на основании договора водопользования, заключаемого без проведения аукциона. </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Детские лагеря и центры установят правила нахождения на территории организации отдыха детей и их оздоровления. Согласно</w:t>
      </w:r>
      <w:r>
        <w:rPr>
          <w:rFonts w:ascii="Times New Roman" w:hAnsi="Times New Roman" w:eastAsia="Times New Roman" w:cs="Times New Roman"/>
          <w:sz w:val="28"/>
          <w:szCs w:val="24"/>
          <w:lang w:eastAsia="ru-RU"/>
        </w:rPr>
        <w:t xml:space="preserve"> закону, такие правила включают в себя особенности использования расположенных на территории организации отдыха детей и их оздоровления водного объекта, участка береговой полосы, особенности доступа к ним, а также правила поведения на указанной территории.</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Имеет ли право муниципальный служащий сдавать принадлежащую ему квартиру в аренду?</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Муниципальный служащий вправе таким способом  распоряжаться недвижимым имуществом, но при условии, что получение прибыли не являлось целью его приобретения.</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Муниципальным служащим запрещено заниматься предпринимательской деятельностью лично или через доверенных лиц (п. 3.1 ч. 1 ст. 14 Федерального закона от 02.03.2007 № 25-ФЗ «О муниципальной службе в Российской Федерации»).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Таким образом, муниципальный служащий вправе сдавать жилое помещение в аренду, если сделка не имеет признаков предпринимательской деятельности.</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К предпринимательской деятельности при сдаче квартиры в аренду можно отнести: сдачу квартиры посуточно; сдачу в аренду сразу нескольких квартир, покупку квартиры с целью ее последующей сдачи в аренду.</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Сумму дохода, полученную от сдачи квар</w:t>
      </w:r>
      <w:r>
        <w:rPr>
          <w:rFonts w:ascii="Times New Roman" w:hAnsi="Times New Roman" w:eastAsia="Times New Roman" w:cs="Times New Roman"/>
          <w:sz w:val="28"/>
          <w:szCs w:val="24"/>
          <w:lang w:eastAsia="ru-RU"/>
        </w:rPr>
        <w:t xml:space="preserve">тиры в аренду, в обязательном порядке необходимо отражать в справке о доходах, расходах, об имуществе и обязательствах имущественного характера (форма утверждена Указом Президента Российской Федерации от 23.06.2014 № 460) с уплатой соответствующего налога.</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Изменены правила предоставления субсидий на оплату жилого помещения и коммунальных услуг</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С 1 апреля 2023 года вступило в силу постановление Правительства Российской Федерации от 24.03.2023 № 444 «О внесении изменений в Правила предоставления субсидий на оплату жилого помещения и коммунальных услуг». </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В соответствии с данным правовым актом доход получателя меры социальной поддержки определяется за 6 месяцев, предшествующ</w:t>
      </w:r>
      <w:r>
        <w:rPr>
          <w:rFonts w:ascii="Times New Roman" w:hAnsi="Times New Roman" w:eastAsia="Times New Roman" w:cs="Times New Roman"/>
          <w:sz w:val="28"/>
          <w:szCs w:val="24"/>
          <w:lang w:eastAsia="ru-RU"/>
        </w:rPr>
        <w:t xml:space="preserve">их месяцу перед обращением. Так по заявлениям, поданным с 1 по 30 апреля 2023 года, доходы анализируются с сентября 2022 года по февраль 2023 года, а по заявлениям, поданным с 1 по 31 мая 2023 года, учитываются доходы с октября 2022 года по март 2023 года.</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Кроме того, региональные власти наделены полномочиями самостоятельно </w:t>
      </w:r>
      <w:r>
        <w:rPr>
          <w:rFonts w:ascii="Times New Roman" w:hAnsi="Times New Roman" w:eastAsia="Times New Roman" w:cs="Times New Roman"/>
          <w:sz w:val="28"/>
          <w:szCs w:val="24"/>
          <w:lang w:eastAsia="ru-RU"/>
        </w:rPr>
        <w:t xml:space="preserve">утверждать</w:t>
      </w:r>
      <w:r>
        <w:rPr>
          <w:rFonts w:ascii="Times New Roman" w:hAnsi="Times New Roman" w:eastAsia="Times New Roman" w:cs="Times New Roman"/>
          <w:sz w:val="28"/>
          <w:szCs w:val="24"/>
          <w:lang w:eastAsia="ru-RU"/>
        </w:rPr>
        <w:t xml:space="preserve"> критерии, на основании которых будет определяться максимально допустимая доля расходов граждан на оплату жилого помещения и коммунальных услуг. </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В Правилах учтены изменения, внесенные в ст. 159 Жилищного кодекса Российской Федерации, которыми предусмотрено, что предоставление субсидии при наличии у ее </w:t>
      </w:r>
      <w:r>
        <w:rPr>
          <w:rFonts w:ascii="Times New Roman" w:hAnsi="Times New Roman" w:eastAsia="Times New Roman" w:cs="Times New Roman"/>
          <w:sz w:val="28"/>
          <w:szCs w:val="24"/>
          <w:lang w:eastAsia="ru-RU"/>
        </w:rPr>
        <w:t xml:space="preserve">получателя</w:t>
      </w:r>
      <w:r>
        <w:rPr>
          <w:rFonts w:ascii="Times New Roman" w:hAnsi="Times New Roman" w:eastAsia="Times New Roman" w:cs="Times New Roman"/>
          <w:sz w:val="28"/>
          <w:szCs w:val="24"/>
          <w:lang w:eastAsia="ru-RU"/>
        </w:rPr>
        <w:t xml:space="preserve"> подтвержденной вступившим в законную силу судебным актом непог</w:t>
      </w:r>
      <w:r>
        <w:rPr>
          <w:rFonts w:ascii="Times New Roman" w:hAnsi="Times New Roman" w:eastAsia="Times New Roman" w:cs="Times New Roman"/>
          <w:sz w:val="28"/>
          <w:szCs w:val="24"/>
          <w:lang w:eastAsia="ru-RU"/>
        </w:rPr>
        <w:t xml:space="preserve">ашенной задолженности по оплате жилых помещений и коммунальных услуг, которая образовалась за период не более чем 3 последних года, прекращается с месяца, следующего за месяцем, в котором уполномоченному органу стало известно о наличии такой задолженности.</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Кто отвечает за вред, причиненный ребенку, во время обучения в школе?</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Статьей 38 Конституции Российской Федерации и в корреспондирующей ей ст. 1 СК РФ предусмотрено, что семья, материнство, отцовство и детство в Российской Федерации находятся под защитой государства.</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В соответствии с п. 1 ст. 1073 ГК РФ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w:t>
      </w:r>
      <w:r>
        <w:rPr>
          <w:rFonts w:ascii="Times New Roman" w:hAnsi="Times New Roman" w:eastAsia="Times New Roman" w:cs="Times New Roman"/>
          <w:sz w:val="28"/>
          <w:szCs w:val="24"/>
          <w:lang w:eastAsia="ru-RU"/>
        </w:rPr>
        <w:t xml:space="preserve">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 (п. 3 ст. 1073</w:t>
      </w: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sz w:val="28"/>
          <w:szCs w:val="24"/>
          <w:lang w:eastAsia="ru-RU"/>
        </w:rPr>
        <w:t xml:space="preserve">ГК РФ).</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В силу положений Федерального закона от 29 декабря 2012 № 273-ФЗ «Об образовании в Российской Федерации» образовательная организация </w:t>
      </w:r>
      <w:r>
        <w:rPr>
          <w:rFonts w:ascii="Times New Roman" w:hAnsi="Times New Roman" w:eastAsia="Times New Roman" w:cs="Times New Roman"/>
          <w:sz w:val="28"/>
          <w:szCs w:val="24"/>
          <w:lang w:eastAsia="ru-RU"/>
        </w:rPr>
        <w:t xml:space="preserve">обязана осуществлять свою деятельность в соответствии с законодательством об образовании, в то</w:t>
      </w:r>
      <w:r>
        <w:rPr>
          <w:rFonts w:ascii="Times New Roman" w:hAnsi="Times New Roman" w:eastAsia="Times New Roman" w:cs="Times New Roman"/>
          <w:sz w:val="28"/>
          <w:szCs w:val="24"/>
          <w:lang w:eastAsia="ru-RU"/>
        </w:rPr>
        <w:t xml:space="preserve">м числе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(п. 2 ч. 6</w:t>
      </w:r>
      <w:r>
        <w:rPr>
          <w:rFonts w:ascii="Times New Roman" w:hAnsi="Times New Roman" w:eastAsia="Times New Roman" w:cs="Times New Roman"/>
          <w:sz w:val="28"/>
          <w:szCs w:val="24"/>
          <w:lang w:eastAsia="ru-RU"/>
        </w:rPr>
        <w:t xml:space="preserve"> ст. 28).</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Образовательная организация несет ответственность в установленном зак</w:t>
      </w:r>
      <w:r>
        <w:rPr>
          <w:rFonts w:ascii="Times New Roman" w:hAnsi="Times New Roman" w:eastAsia="Times New Roman" w:cs="Times New Roman"/>
          <w:sz w:val="28"/>
          <w:szCs w:val="24"/>
          <w:lang w:eastAsia="ru-RU"/>
        </w:rPr>
        <w:t xml:space="preserve">онодательством Российской Федерации порядке за невыполнение или ненадлежащее выполнение функций, отнесенных к ее компетенции, а также за жизнь и здоровье обучающихся, работников образовательной организации (ч. 7 ст. 28 названного выше федерального закона).</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Таким образом, именно образовательная организация (образовательное учреждение), где несовершеннолетний (малолетний) временно находился, отвечает за вред, причиненный несовершеннолетним, если она не осуществляла должный надзор за ним в момент причинения </w:t>
      </w:r>
      <w:r>
        <w:rPr>
          <w:rFonts w:ascii="Times New Roman" w:hAnsi="Times New Roman" w:eastAsia="Times New Roman" w:cs="Times New Roman"/>
          <w:sz w:val="28"/>
          <w:szCs w:val="24"/>
          <w:lang w:eastAsia="ru-RU"/>
        </w:rPr>
        <w:t xml:space="preserve">вреда. Обязанность по надлежащему надзору за несовершеннолетними должна осуществляться образовательной организацией не только во время пребывания малолетнего в стенах образовательного учреждения, но и на его территории, закрепленной за этим учреждением в у</w:t>
      </w:r>
      <w:r>
        <w:rPr>
          <w:rFonts w:ascii="Times New Roman" w:hAnsi="Times New Roman" w:eastAsia="Times New Roman" w:cs="Times New Roman"/>
          <w:sz w:val="28"/>
          <w:szCs w:val="24"/>
          <w:lang w:eastAsia="ru-RU"/>
        </w:rPr>
        <w:t xml:space="preserve">становленном порядке. Если малолетний причинил вред, находясь под надзором образовательного учреждения, то это образовательное учреждение предполагается виновным в причинении вреда и обязано возместить вред, если не докажет, что вред возник не по его вине.</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В случае, если Ваш р</w:t>
      </w:r>
      <w:r>
        <w:rPr>
          <w:rFonts w:ascii="Times New Roman" w:hAnsi="Times New Roman" w:eastAsia="Times New Roman" w:cs="Times New Roman"/>
          <w:sz w:val="28"/>
          <w:szCs w:val="24"/>
          <w:lang w:eastAsia="ru-RU"/>
        </w:rPr>
        <w:t xml:space="preserve">ебенок получил травму во время обучения в школе, то Вам следует обратиться за защитой своих прав в прокуратуру, и если образовательная организация не докажет, что вред был причинен не по их вине, то Вы имеете право как на возмещение затрат на лечение, так </w:t>
      </w:r>
      <w:r>
        <w:rPr>
          <w:rFonts w:ascii="Times New Roman" w:hAnsi="Times New Roman" w:eastAsia="Times New Roman" w:cs="Times New Roman"/>
          <w:sz w:val="28"/>
          <w:szCs w:val="24"/>
          <w:lang w:eastAsia="ru-RU"/>
        </w:rPr>
        <w:t xml:space="preserve">                                   </w:t>
      </w:r>
      <w:r>
        <w:rPr>
          <w:rFonts w:ascii="Times New Roman" w:hAnsi="Times New Roman" w:eastAsia="Times New Roman" w:cs="Times New Roman"/>
          <w:sz w:val="28"/>
          <w:szCs w:val="24"/>
          <w:lang w:eastAsia="ru-RU"/>
        </w:rPr>
        <w:t xml:space="preserve">и на компенсацию морального вреда.</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Руководитель образовательной организации при этом будет нести ответственность по </w:t>
      </w:r>
      <w:r>
        <w:rPr>
          <w:rFonts w:ascii="Times New Roman" w:hAnsi="Times New Roman" w:eastAsia="Times New Roman" w:cs="Times New Roman"/>
          <w:sz w:val="28"/>
          <w:szCs w:val="24"/>
          <w:lang w:eastAsia="ru-RU"/>
        </w:rPr>
        <w:t xml:space="preserve">ч</w:t>
      </w:r>
      <w:r>
        <w:rPr>
          <w:rFonts w:ascii="Times New Roman" w:hAnsi="Times New Roman" w:eastAsia="Times New Roman" w:cs="Times New Roman"/>
          <w:sz w:val="28"/>
          <w:szCs w:val="24"/>
          <w:lang w:eastAsia="ru-RU"/>
        </w:rPr>
        <w:t xml:space="preserve">.2 ст. 5.57 </w:t>
      </w:r>
      <w:r>
        <w:rPr>
          <w:rFonts w:ascii="Times New Roman" w:hAnsi="Times New Roman" w:eastAsia="Times New Roman" w:cs="Times New Roman"/>
          <w:sz w:val="28"/>
          <w:szCs w:val="24"/>
          <w:lang w:eastAsia="ru-RU"/>
        </w:rPr>
        <w:t xml:space="preserve">КоАП</w:t>
      </w:r>
      <w:r>
        <w:rPr>
          <w:rFonts w:ascii="Times New Roman" w:hAnsi="Times New Roman" w:eastAsia="Times New Roman" w:cs="Times New Roman"/>
          <w:sz w:val="28"/>
          <w:szCs w:val="24"/>
          <w:lang w:eastAsia="ru-RU"/>
        </w:rPr>
        <w:t xml:space="preserve"> РФ.</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Внесены изменения в законодательство о закупках для государственных нужд</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Постановлением Правительства РФ от 06.03.2023 № 348 внесен ряд изменений в авансирование договоров и государственных контрактов в 2023 году.</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Закреплено право предусматривать авансовые платежи в размере от 30 до 50 процентов суммы договора, государственного контракта, но не более лимитов бюджетных обязательств, доведенных в установленном порядке на указанные цели на соответствующий финансов</w:t>
      </w:r>
      <w:r>
        <w:rPr>
          <w:rFonts w:ascii="Times New Roman" w:hAnsi="Times New Roman" w:eastAsia="Times New Roman" w:cs="Times New Roman"/>
          <w:sz w:val="28"/>
          <w:szCs w:val="24"/>
          <w:lang w:eastAsia="ru-RU"/>
        </w:rPr>
        <w:t xml:space="preserve">ый год. Указанное право распространяет свою силу на главных распорядителей средств федерального бюджета и подведомственных им получателей средств федерального бюджета в случае, если договор или государственный контракт подлежат казначейскому сопровождению.</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Помимо это</w:t>
      </w:r>
      <w:r>
        <w:rPr>
          <w:rFonts w:ascii="Times New Roman" w:hAnsi="Times New Roman" w:eastAsia="Times New Roman" w:cs="Times New Roman"/>
          <w:sz w:val="28"/>
          <w:szCs w:val="24"/>
          <w:lang w:eastAsia="ru-RU"/>
        </w:rPr>
        <w:t xml:space="preserve">го определены особенности авансирования договоров, государственных контрактов, заключаемых в целях реализации принятых решений об осуществлении капитальных вложений в объекты капитального строительства государственной собственности Российской Федерации на </w:t>
      </w:r>
      <w:r>
        <w:rPr>
          <w:rFonts w:ascii="Times New Roman" w:hAnsi="Times New Roman" w:eastAsia="Times New Roman" w:cs="Times New Roman"/>
          <w:sz w:val="28"/>
          <w:szCs w:val="24"/>
          <w:lang w:eastAsia="ru-RU"/>
        </w:rPr>
        <w:t xml:space="preserve">территориях Донецкой и Луганской Народных Республик, Запорожской и Херсонской областей.</w:t>
      </w:r>
      <w:r/>
    </w:p>
    <w:p>
      <w:pPr>
        <w:ind w:firstLine="720"/>
        <w:jc w:val="both"/>
        <w:spacing w:after="0" w:line="240" w:lineRule="auto"/>
        <w:rPr>
          <w:rFonts w:ascii="Times New Roman" w:hAnsi="Times New Roman" w:eastAsia="Times New Roman" w:cs="Times New Roman"/>
          <w:sz w:val="28"/>
          <w:szCs w:val="28"/>
          <w:highlight w:val="none"/>
          <w:lang w:eastAsia="ru-RU"/>
        </w:rPr>
      </w:pPr>
      <w:r>
        <w:rPr>
          <w:rFonts w:ascii="Times New Roman" w:hAnsi="Times New Roman" w:eastAsia="Times New Roman" w:cs="Times New Roman"/>
          <w:sz w:val="28"/>
          <w:szCs w:val="24"/>
          <w:lang w:eastAsia="ru-RU"/>
        </w:rPr>
        <w:t xml:space="preserve">Также приостанавливается до 31.12.2023 требование об установлении предельного размера авансовых платежей, подлежащих казначейскому сопровождению, в размере, не превышающем 30 процентов суммы договора, государственного контракта.</w:t>
      </w:r>
      <w:r/>
    </w:p>
    <w:p>
      <w:pPr>
        <w:ind w:firstLine="720"/>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4"/>
          <w:highlight w:val="none"/>
          <w:lang w:eastAsia="ru-RU"/>
        </w:rPr>
      </w:r>
      <w:r>
        <w:rPr>
          <w:rFonts w:ascii="Times New Roman" w:hAnsi="Times New Roman" w:eastAsia="Times New Roman" w:cs="Times New Roman"/>
          <w:sz w:val="28"/>
          <w:szCs w:val="24"/>
          <w:highlight w:val="none"/>
          <w:lang w:eastAsia="ru-RU"/>
        </w:rPr>
      </w:r>
    </w:p>
    <w:p>
      <w:pPr>
        <w:ind w:firstLine="720"/>
        <w:jc w:val="both"/>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Законодателем установлены основания для лишения собственника права на жилище</w:t>
      </w:r>
      <w:r>
        <w:rPr>
          <w:rFonts w:ascii="Times New Roman" w:hAnsi="Times New Roman" w:eastAsia="Times New Roman" w:cs="Times New Roman"/>
          <w:b/>
          <w:sz w:val="28"/>
          <w:szCs w:val="24"/>
          <w:lang w:eastAsia="ru-RU"/>
        </w:rPr>
        <w:t xml:space="preserve">.</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С 01.03.2023 года вступили в силу изменения, внесенные в Гражданский</w:t>
      </w:r>
      <w:r>
        <w:rPr>
          <w:rFonts w:ascii="Times New Roman" w:hAnsi="Times New Roman" w:eastAsia="Times New Roman" w:cs="Times New Roman"/>
          <w:sz w:val="28"/>
          <w:szCs w:val="24"/>
          <w:lang w:eastAsia="ru-RU"/>
        </w:rPr>
        <w:t xml:space="preserve"> кодекс Российской Федерации Федеральными законами от 21.12.2021 № 430-ФЗ «О внесении изменений в часть первую Гражданского кодекса Российской Федерации» и от 28.06.2022 № 185-ФЗ «О внесении изменений в отдельные законодательные акты Российской Федерации».</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Данными правовыми актами введены дополнительные осн</w:t>
      </w:r>
      <w:r>
        <w:rPr>
          <w:rFonts w:ascii="Times New Roman" w:hAnsi="Times New Roman" w:eastAsia="Times New Roman" w:cs="Times New Roman"/>
          <w:sz w:val="28"/>
          <w:szCs w:val="24"/>
          <w:lang w:eastAsia="ru-RU"/>
        </w:rPr>
        <w:t xml:space="preserve">ования для лишения собственников прав на недвижимое имущество, а именно: использование имущества не по назначению, если это приводит к систематическому нарушению прав и интересов соседей; бесхозяйное содержание имущества, которое приводит к его разрушению.</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Новый порядок вводится в отношении зданий, сооружений, объектов незавершенного строительства, квартир, помещений, </w:t>
      </w:r>
      <w:r>
        <w:rPr>
          <w:rFonts w:ascii="Times New Roman" w:hAnsi="Times New Roman" w:eastAsia="Times New Roman" w:cs="Times New Roman"/>
          <w:sz w:val="28"/>
          <w:szCs w:val="24"/>
          <w:lang w:eastAsia="ru-RU"/>
        </w:rPr>
        <w:t xml:space="preserve">машино-мест</w:t>
      </w:r>
      <w:r>
        <w:rPr>
          <w:rFonts w:ascii="Times New Roman" w:hAnsi="Times New Roman" w:eastAsia="Times New Roman" w:cs="Times New Roman"/>
          <w:sz w:val="28"/>
          <w:szCs w:val="24"/>
          <w:lang w:eastAsia="ru-RU"/>
        </w:rPr>
        <w:t xml:space="preserve"> и других объектов недвижимости.</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t xml:space="preserve">Нововведения закрепляют сложившуюся судебную практику, однако право лишать права собственности на имущество предоставлено законодателем впервые.</w:t>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r>
      <w:r/>
    </w:p>
    <w:p>
      <w:pPr>
        <w:ind w:firstLine="720"/>
        <w:jc w:val="both"/>
        <w:spacing w:after="0" w:line="240" w:lineRule="auto"/>
        <w:rPr>
          <w:rFonts w:ascii="Times New Roman" w:hAnsi="Times New Roman" w:eastAsia="Times New Roman" w:cs="Times New Roman"/>
          <w:sz w:val="28"/>
          <w:szCs w:val="24"/>
          <w:lang w:eastAsia="ru-RU"/>
        </w:rPr>
      </w:pPr>
      <w:r>
        <w:rPr>
          <w:rFonts w:ascii="Times New Roman" w:hAnsi="Times New Roman" w:eastAsia="Times New Roman" w:cs="Times New Roman"/>
          <w:sz w:val="28"/>
          <w:szCs w:val="24"/>
          <w:lang w:eastAsia="ru-RU"/>
        </w:rPr>
      </w:r>
      <w:r/>
    </w:p>
    <w:p>
      <w:pPr>
        <w:ind w:firstLine="720"/>
        <w:jc w:val="both"/>
        <w:spacing w:after="0" w:line="240" w:lineRule="auto"/>
        <w:rPr>
          <w:rFonts w:ascii="Times New Roman" w:hAnsi="Times New Roman" w:eastAsia="Calibri" w:cs="Times New Roman"/>
          <w:sz w:val="28"/>
          <w:szCs w:val="28"/>
        </w:rPr>
      </w:pPr>
      <w:r>
        <w:rPr>
          <w:rFonts w:ascii="Times New Roman" w:hAnsi="Times New Roman" w:eastAsia="Calibri" w:cs="Times New Roman"/>
          <w:b/>
          <w:sz w:val="28"/>
          <w:szCs w:val="28"/>
        </w:rPr>
        <w:t xml:space="preserve">После опубликования информаций, прошу направить копии бюллетеней на электронную почту прокуратуры </w:t>
      </w:r>
      <w:hyperlink r:id="rId10" w:tooltip="mailto:mok@58.mailop.ru" w:history="1">
        <w:r>
          <w:rPr>
            <w:rStyle w:val="737"/>
            <w:rFonts w:ascii="Times New Roman" w:hAnsi="Times New Roman" w:eastAsia="Calibri" w:cs="Times New Roman"/>
            <w:b/>
            <w:sz w:val="28"/>
            <w:szCs w:val="28"/>
          </w:rPr>
          <w:t xml:space="preserve">mok@58.mailop.ru</w:t>
        </w:r>
      </w:hyperlink>
      <w:r>
        <w:rPr>
          <w:rFonts w:ascii="Times New Roman" w:hAnsi="Times New Roman" w:eastAsia="Calibri" w:cs="Times New Roman"/>
          <w:b/>
          <w:sz w:val="28"/>
          <w:szCs w:val="28"/>
        </w:rPr>
        <w:t xml:space="preserve">.  </w:t>
      </w:r>
      <w:bookmarkEnd w:id="2"/>
      <w:bookmarkEnd w:id="3"/>
      <w:r/>
    </w:p>
    <w:p>
      <w:pPr>
        <w:ind w:firstLine="709"/>
        <w:spacing w:after="0" w:line="240" w:lineRule="exact"/>
        <w:rPr>
          <w:rFonts w:ascii="Times New Roman" w:hAnsi="Times New Roman" w:eastAsia="Calibri" w:cs="Times New Roman"/>
          <w:sz w:val="28"/>
        </w:rPr>
      </w:pPr>
      <w:r>
        <w:rPr>
          <w:rFonts w:ascii="Times New Roman" w:hAnsi="Times New Roman" w:eastAsia="Calibri" w:cs="Times New Roman"/>
          <w:sz w:val="28"/>
        </w:rPr>
      </w:r>
      <w:r/>
    </w:p>
    <w:p>
      <w:pPr>
        <w:ind w:firstLine="709"/>
        <w:spacing w:after="0" w:line="240" w:lineRule="exact"/>
        <w:rPr>
          <w:rFonts w:ascii="Times New Roman" w:hAnsi="Times New Roman" w:eastAsia="Calibri" w:cs="Times New Roman"/>
          <w:sz w:val="28"/>
        </w:rPr>
      </w:pPr>
      <w:r>
        <w:rPr>
          <w:rFonts w:ascii="Times New Roman" w:hAnsi="Times New Roman" w:eastAsia="Calibri" w:cs="Times New Roman"/>
          <w:sz w:val="28"/>
        </w:rPr>
      </w:r>
      <w:r/>
    </w:p>
    <w:p>
      <w:pPr>
        <w:ind w:left="3545" w:firstLine="709"/>
        <w:spacing w:before="240" w:after="0" w:line="240" w:lineRule="auto"/>
        <w:rPr>
          <w:rFonts w:ascii="Times New Roman" w:hAnsi="Times New Roman" w:eastAsia="Calibri" w:cs="Times New Roman"/>
          <w:color w:val="d9d9d9"/>
          <w:sz w:val="28"/>
          <w:szCs w:val="28"/>
        </w:rPr>
      </w:pPr>
      <w:r/>
      <w:bookmarkStart w:id="5" w:name="SIGNERSTAMP1"/>
      <w:r>
        <w:rPr>
          <w:rFonts w:ascii="Times New Roman" w:hAnsi="Times New Roman" w:eastAsia="Calibri" w:cs="Times New Roman"/>
          <w:color w:val="d9d9d9"/>
          <w:sz w:val="28"/>
          <w:szCs w:val="28"/>
        </w:rPr>
        <w:t xml:space="preserve">штамп подписи 1</w:t>
      </w:r>
      <w:bookmarkEnd w:id="5"/>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rPr>
          <w:rFonts w:ascii="Times New Roman" w:hAnsi="Times New Roman" w:eastAsia="Calibri" w:cs="Times New Roman"/>
          <w:color w:val="d9d9d9"/>
          <w:sz w:val="28"/>
          <w:szCs w:val="28"/>
        </w:rPr>
      </w:pPr>
      <w:r>
        <w:rPr>
          <w:rFonts w:ascii="Times New Roman" w:hAnsi="Times New Roman" w:eastAsia="Calibri" w:cs="Times New Roman"/>
          <w:color w:val="d9d9d9"/>
          <w:sz w:val="28"/>
          <w:szCs w:val="28"/>
        </w:rPr>
      </w:r>
      <w:r/>
    </w:p>
    <w:p>
      <w:pPr>
        <w:spacing w:after="0" w:line="240" w:lineRule="auto"/>
      </w:pPr>
      <w:r>
        <w:rPr>
          <w:rFonts w:ascii="Times New Roman" w:hAnsi="Times New Roman" w:eastAsia="Calibri" w:cs="Times New Roman"/>
        </w:rPr>
        <w:t xml:space="preserve">А.А. Санкова, (84150) 2-21-68</w:t>
      </w:r>
      <w:r/>
    </w:p>
    <w:sectPr>
      <w:headerReference w:type="default" r:id="rId8"/>
      <w:footerReference w:type="first" r:id="rId9"/>
      <w:footnotePr/>
      <w:endnotePr/>
      <w:type w:val="nextPage"/>
      <w:pgSz w:w="11906" w:h="16838" w:orient="portrait"/>
      <w:pgMar w:top="284" w:right="567" w:bottom="426" w:left="1701" w:header="680" w:footer="516"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731"/>
      <w:tblpPr w:horzAnchor="margin" w:tblpXSpec="left" w:vertAnchor="margin" w:tblpYSpec="bottom" w:leftFromText="113" w:topFromText="0" w:rightFromText="113" w:bottomFromText="0"/>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6237"/>
      <w:gridCol w:w="3401"/>
    </w:tblGrid>
    <w:tr>
      <w:trPr>
        <w:trHeight w:val="552"/>
      </w:trPr>
      <w:tc>
        <w:tcPr>
          <w:tcW w:w="6237" w:type="dxa"/>
          <w:textDirection w:val="lrTb"/>
          <w:noWrap w:val="false"/>
        </w:tcPr>
        <w:p>
          <w:pPr>
            <w:spacing w:line="240" w:lineRule="exact"/>
            <w:rPr>
              <w:lang w:val="en-US"/>
            </w:rPr>
          </w:pPr>
          <w:r>
            <w:rPr>
              <w:lang w:val="en-US"/>
            </w:rPr>
          </w:r>
          <w:r/>
        </w:p>
      </w:tc>
      <w:tc>
        <w:tcPr>
          <w:shd w:val="clear" w:color="auto" w:fill="auto"/>
          <w:tcBorders>
            <w:bottom w:val="single" w:color="auto" w:sz="4" w:space="0"/>
          </w:tcBorders>
          <w:tcW w:w="3401" w:type="dxa"/>
          <w:vAlign w:val="center"/>
          <w:textDirection w:val="lrTb"/>
          <w:noWrap w:val="false"/>
        </w:tcPr>
        <w:p>
          <w:pPr>
            <w:rPr>
              <w:sz w:val="18"/>
              <w:szCs w:val="18"/>
            </w:rPr>
          </w:pPr>
          <w:r>
            <w:rPr>
              <w:sz w:val="18"/>
              <w:szCs w:val="18"/>
            </w:rPr>
          </w:r>
          <w:r/>
        </w:p>
      </w:tc>
    </w:tr>
    <w:tr>
      <w:trPr>
        <w:trHeight w:val="552"/>
      </w:trPr>
      <w:tc>
        <w:tcPr>
          <w:tcBorders>
            <w:right w:val="single" w:color="auto" w:sz="4" w:space="0"/>
          </w:tcBorders>
          <w:tcW w:w="6237" w:type="dxa"/>
          <w:textDirection w:val="lrTb"/>
          <w:noWrap w:val="false"/>
        </w:tcPr>
        <w:p>
          <w:pPr>
            <w:spacing w:line="240" w:lineRule="exact"/>
          </w:pPr>
          <w:r/>
          <w:r/>
        </w:p>
      </w:tc>
      <w:tc>
        <w:tcPr>
          <w:shd w:val="clear" w:color="auto" w:fill="auto"/>
          <w:tcBorders>
            <w:top w:val="single" w:color="auto" w:sz="4" w:space="0"/>
            <w:left w:val="single" w:color="auto" w:sz="4" w:space="0"/>
            <w:bottom w:val="single" w:color="auto" w:sz="4" w:space="0"/>
            <w:right w:val="single" w:color="auto" w:sz="4" w:space="0"/>
          </w:tcBorders>
          <w:tcW w:w="3401" w:type="dxa"/>
          <w:vAlign w:val="center"/>
          <w:textDirection w:val="lrTb"/>
          <w:noWrap w:val="false"/>
        </w:tcPr>
        <w:p>
          <w:pPr>
            <w:jc w:val="center"/>
            <w:rPr>
              <w:sz w:val="18"/>
              <w:szCs w:val="18"/>
            </w:rPr>
          </w:pPr>
          <w:r>
            <w:rPr>
              <w:sz w:val="18"/>
              <w:szCs w:val="18"/>
            </w:rPr>
            <w:t xml:space="preserve">Прокуратура </w:t>
          </w:r>
          <w:r>
            <w:rPr>
              <w:sz w:val="18"/>
              <w:szCs w:val="18"/>
            </w:rPr>
            <w:t xml:space="preserve">Мокшанского района </w:t>
          </w:r>
          <w:r>
            <w:rPr>
              <w:sz w:val="18"/>
              <w:szCs w:val="18"/>
            </w:rPr>
            <w:t xml:space="preserve">Пензенской области</w:t>
          </w:r>
          <w:r/>
        </w:p>
        <w:p>
          <w:pPr>
            <w:rPr>
              <w:sz w:val="18"/>
              <w:szCs w:val="18"/>
            </w:rPr>
          </w:pPr>
          <w:r>
            <w:rPr>
              <w:sz w:val="18"/>
              <w:szCs w:val="18"/>
            </w:rPr>
            <w:t xml:space="preserve">  </w:t>
          </w:r>
          <w:r>
            <w:rPr>
              <w:sz w:val="18"/>
              <w:szCs w:val="18"/>
            </w:rPr>
            <w:t xml:space="preserve">  </w:t>
          </w:r>
          <w:r>
            <w:rPr>
              <w:sz w:val="18"/>
              <w:szCs w:val="18"/>
            </w:rPr>
            <w:t xml:space="preserve">№</w:t>
          </w:r>
          <w:bookmarkStart w:id="6" w:name="REGNUMSTAMP"/>
          <w:r>
            <w:rPr>
              <w:sz w:val="18"/>
              <w:szCs w:val="18"/>
            </w:rPr>
            <w:t xml:space="preserve">  </w:t>
          </w:r>
          <w:r>
            <w:rPr>
              <w:sz w:val="18"/>
              <w:szCs w:val="18"/>
            </w:rPr>
            <w:t xml:space="preserve">ШтампРегномер</w:t>
          </w:r>
          <w:bookmarkEnd w:id="6"/>
          <w:r/>
          <w:r/>
        </w:p>
      </w:tc>
    </w:tr>
  </w:tbl>
  <w:p>
    <w:pPr>
      <w:pStyle w:val="735"/>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937834552"/>
      <w:docPartObj>
        <w:docPartGallery w:val="Page Numbers (Top of Page)"/>
        <w:docPartUnique w:val="true"/>
      </w:docPartObj>
      <w:rPr>
        <w:rFonts w:cs="Times New Roman"/>
        <w:szCs w:val="28"/>
      </w:rPr>
    </w:sdtPr>
    <w:sdtContent>
      <w:p>
        <w:pPr>
          <w:pStyle w:val="732"/>
          <w:jc w:val="center"/>
          <w:rPr>
            <w:rFonts w:cs="Times New Roman"/>
            <w:szCs w:val="28"/>
          </w:rPr>
        </w:pPr>
        <w:r>
          <w:rPr>
            <w:rFonts w:cs="Times New Roman"/>
            <w:szCs w:val="28"/>
          </w:rPr>
          <w:fldChar w:fldCharType="begin"/>
        </w:r>
        <w:r>
          <w:rPr>
            <w:rFonts w:cs="Times New Roman"/>
            <w:szCs w:val="28"/>
          </w:rPr>
          <w:instrText xml:space="preserve">PAGE   \* MERGEFORMAT</w:instrText>
        </w:r>
        <w:r>
          <w:rPr>
            <w:rFonts w:cs="Times New Roman"/>
            <w:szCs w:val="28"/>
          </w:rPr>
          <w:fldChar w:fldCharType="separate"/>
        </w:r>
        <w:r>
          <w:rPr>
            <w:rFonts w:cs="Times New Roman"/>
            <w:szCs w:val="28"/>
          </w:rPr>
          <w:t xml:space="preserve">2</w:t>
        </w:r>
        <w:r>
          <w:rPr>
            <w:rFonts w:cs="Times New Roman"/>
            <w:szCs w:val="28"/>
          </w:rPr>
          <w:fldChar w:fldCharType="end"/>
        </w:r>
        <w:r/>
      </w:p>
    </w:sdtContent>
  </w:sdt>
  <w:p>
    <w:pPr>
      <w:pStyle w:val="732"/>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27"/>
    <w:next w:val="727"/>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728"/>
    <w:link w:val="13"/>
    <w:uiPriority w:val="9"/>
    <w:rPr>
      <w:rFonts w:ascii="Arial" w:hAnsi="Arial" w:eastAsia="Arial" w:cs="Arial"/>
      <w:sz w:val="40"/>
      <w:szCs w:val="40"/>
    </w:rPr>
  </w:style>
  <w:style w:type="paragraph" w:styleId="15">
    <w:name w:val="Heading 2"/>
    <w:basedOn w:val="727"/>
    <w:next w:val="72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728"/>
    <w:link w:val="15"/>
    <w:uiPriority w:val="9"/>
    <w:rPr>
      <w:rFonts w:ascii="Arial" w:hAnsi="Arial" w:eastAsia="Arial" w:cs="Arial"/>
      <w:sz w:val="34"/>
    </w:rPr>
  </w:style>
  <w:style w:type="paragraph" w:styleId="17">
    <w:name w:val="Heading 3"/>
    <w:basedOn w:val="727"/>
    <w:next w:val="72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728"/>
    <w:link w:val="17"/>
    <w:uiPriority w:val="9"/>
    <w:rPr>
      <w:rFonts w:ascii="Arial" w:hAnsi="Arial" w:eastAsia="Arial" w:cs="Arial"/>
      <w:sz w:val="30"/>
      <w:szCs w:val="30"/>
    </w:rPr>
  </w:style>
  <w:style w:type="paragraph" w:styleId="19">
    <w:name w:val="Heading 4"/>
    <w:basedOn w:val="727"/>
    <w:next w:val="72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728"/>
    <w:link w:val="19"/>
    <w:uiPriority w:val="9"/>
    <w:rPr>
      <w:rFonts w:ascii="Arial" w:hAnsi="Arial" w:eastAsia="Arial" w:cs="Arial"/>
      <w:b/>
      <w:bCs/>
      <w:sz w:val="26"/>
      <w:szCs w:val="26"/>
    </w:rPr>
  </w:style>
  <w:style w:type="paragraph" w:styleId="21">
    <w:name w:val="Heading 5"/>
    <w:basedOn w:val="727"/>
    <w:next w:val="72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728"/>
    <w:link w:val="21"/>
    <w:uiPriority w:val="9"/>
    <w:rPr>
      <w:rFonts w:ascii="Arial" w:hAnsi="Arial" w:eastAsia="Arial" w:cs="Arial"/>
      <w:b/>
      <w:bCs/>
      <w:sz w:val="24"/>
      <w:szCs w:val="24"/>
    </w:rPr>
  </w:style>
  <w:style w:type="paragraph" w:styleId="23">
    <w:name w:val="Heading 6"/>
    <w:basedOn w:val="727"/>
    <w:next w:val="72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728"/>
    <w:link w:val="23"/>
    <w:uiPriority w:val="9"/>
    <w:rPr>
      <w:rFonts w:ascii="Arial" w:hAnsi="Arial" w:eastAsia="Arial" w:cs="Arial"/>
      <w:b/>
      <w:bCs/>
      <w:sz w:val="22"/>
      <w:szCs w:val="22"/>
    </w:rPr>
  </w:style>
  <w:style w:type="paragraph" w:styleId="25">
    <w:name w:val="Heading 7"/>
    <w:basedOn w:val="727"/>
    <w:next w:val="72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728"/>
    <w:link w:val="25"/>
    <w:uiPriority w:val="9"/>
    <w:rPr>
      <w:rFonts w:ascii="Arial" w:hAnsi="Arial" w:eastAsia="Arial" w:cs="Arial"/>
      <w:b/>
      <w:bCs/>
      <w:i/>
      <w:iCs/>
      <w:sz w:val="22"/>
      <w:szCs w:val="22"/>
    </w:rPr>
  </w:style>
  <w:style w:type="paragraph" w:styleId="27">
    <w:name w:val="Heading 8"/>
    <w:basedOn w:val="727"/>
    <w:next w:val="72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28"/>
    <w:link w:val="27"/>
    <w:uiPriority w:val="9"/>
    <w:rPr>
      <w:rFonts w:ascii="Arial" w:hAnsi="Arial" w:eastAsia="Arial" w:cs="Arial"/>
      <w:i/>
      <w:iCs/>
      <w:sz w:val="22"/>
      <w:szCs w:val="22"/>
    </w:rPr>
  </w:style>
  <w:style w:type="paragraph" w:styleId="29">
    <w:name w:val="Heading 9"/>
    <w:basedOn w:val="727"/>
    <w:next w:val="72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28"/>
    <w:link w:val="29"/>
    <w:uiPriority w:val="9"/>
    <w:rPr>
      <w:rFonts w:ascii="Arial" w:hAnsi="Arial" w:eastAsia="Arial" w:cs="Arial"/>
      <w:i/>
      <w:iCs/>
      <w:sz w:val="21"/>
      <w:szCs w:val="21"/>
    </w:rPr>
  </w:style>
  <w:style w:type="paragraph" w:styleId="31">
    <w:name w:val="List Paragraph"/>
    <w:basedOn w:val="727"/>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727"/>
    <w:next w:val="727"/>
    <w:link w:val="35"/>
    <w:uiPriority w:val="10"/>
    <w:qFormat/>
    <w:pPr>
      <w:contextualSpacing/>
      <w:spacing w:before="300" w:after="200"/>
    </w:pPr>
    <w:rPr>
      <w:sz w:val="48"/>
      <w:szCs w:val="48"/>
    </w:rPr>
  </w:style>
  <w:style w:type="character" w:styleId="35">
    <w:name w:val="Title Char"/>
    <w:basedOn w:val="728"/>
    <w:link w:val="34"/>
    <w:uiPriority w:val="10"/>
    <w:rPr>
      <w:sz w:val="48"/>
      <w:szCs w:val="48"/>
    </w:rPr>
  </w:style>
  <w:style w:type="paragraph" w:styleId="36">
    <w:name w:val="Subtitle"/>
    <w:basedOn w:val="727"/>
    <w:next w:val="727"/>
    <w:link w:val="37"/>
    <w:uiPriority w:val="11"/>
    <w:qFormat/>
    <w:pPr>
      <w:spacing w:before="200" w:after="200"/>
    </w:pPr>
    <w:rPr>
      <w:sz w:val="24"/>
      <w:szCs w:val="24"/>
    </w:rPr>
  </w:style>
  <w:style w:type="character" w:styleId="37">
    <w:name w:val="Subtitle Char"/>
    <w:basedOn w:val="728"/>
    <w:link w:val="36"/>
    <w:uiPriority w:val="11"/>
    <w:rPr>
      <w:sz w:val="24"/>
      <w:szCs w:val="24"/>
    </w:rPr>
  </w:style>
  <w:style w:type="paragraph" w:styleId="38">
    <w:name w:val="Quote"/>
    <w:basedOn w:val="727"/>
    <w:next w:val="727"/>
    <w:link w:val="39"/>
    <w:uiPriority w:val="29"/>
    <w:qFormat/>
    <w:pPr>
      <w:ind w:left="720" w:right="720"/>
    </w:pPr>
    <w:rPr>
      <w:i/>
    </w:rPr>
  </w:style>
  <w:style w:type="character" w:styleId="39">
    <w:name w:val="Quote Char"/>
    <w:link w:val="38"/>
    <w:uiPriority w:val="29"/>
    <w:rPr>
      <w:i/>
    </w:rPr>
  </w:style>
  <w:style w:type="paragraph" w:styleId="40">
    <w:name w:val="Intense Quote"/>
    <w:basedOn w:val="727"/>
    <w:next w:val="72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28"/>
    <w:link w:val="732"/>
    <w:uiPriority w:val="99"/>
  </w:style>
  <w:style w:type="character" w:styleId="45">
    <w:name w:val="Footer Char"/>
    <w:basedOn w:val="728"/>
    <w:link w:val="735"/>
    <w:uiPriority w:val="99"/>
  </w:style>
  <w:style w:type="paragraph" w:styleId="46">
    <w:name w:val="Caption"/>
    <w:basedOn w:val="727"/>
    <w:next w:val="727"/>
    <w:uiPriority w:val="35"/>
    <w:semiHidden/>
    <w:unhideWhenUsed/>
    <w:qFormat/>
    <w:pPr>
      <w:spacing w:line="276" w:lineRule="auto"/>
    </w:pPr>
    <w:rPr>
      <w:b/>
      <w:bCs/>
      <w:color w:val="4f81bd" w:themeColor="accent1"/>
      <w:sz w:val="18"/>
      <w:szCs w:val="18"/>
    </w:rPr>
  </w:style>
  <w:style w:type="character" w:styleId="47">
    <w:name w:val="Caption Char"/>
    <w:basedOn w:val="46"/>
    <w:link w:val="735"/>
    <w:uiPriority w:val="99"/>
  </w:style>
  <w:style w:type="table" w:styleId="49">
    <w:name w:val="Table Grid Light"/>
    <w:basedOn w:val="72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2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2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2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2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2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2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2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2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2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2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2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2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2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2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2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2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2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2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2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2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2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2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2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2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2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2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2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2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2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2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2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2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2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5">
    <w:name w:val="Grid Table 5 Dark - Accent 2"/>
    <w:basedOn w:val="7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7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7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7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72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72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2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2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2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2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2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2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7">
    <w:name w:val="Grid Table 7 Colorful"/>
    <w:basedOn w:val="72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2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2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2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2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2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2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2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29"/>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2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2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2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29"/>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2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2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2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2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2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2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2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2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2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2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72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72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72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72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72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72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2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72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72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72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72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72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72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2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2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2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2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2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2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2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2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72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72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72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72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72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72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2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72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72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72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72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72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7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5">
    <w:name w:val="Lined - Accent 2"/>
    <w:basedOn w:val="7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7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7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7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9">
    <w:name w:val="Lined - Accent 6"/>
    <w:basedOn w:val="72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72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2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2">
    <w:name w:val="Bordered &amp; Lined - Accent 2"/>
    <w:basedOn w:val="72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72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72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72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6">
    <w:name w:val="Bordered &amp; Lined - Accent 6"/>
    <w:basedOn w:val="72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72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2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2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2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2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2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2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72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728"/>
    <w:uiPriority w:val="99"/>
    <w:unhideWhenUsed/>
    <w:rPr>
      <w:vertAlign w:val="superscript"/>
    </w:rPr>
  </w:style>
  <w:style w:type="paragraph" w:styleId="178">
    <w:name w:val="endnote text"/>
    <w:basedOn w:val="72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28"/>
    <w:uiPriority w:val="99"/>
    <w:semiHidden/>
    <w:unhideWhenUsed/>
    <w:rPr>
      <w:vertAlign w:val="superscript"/>
    </w:rPr>
  </w:style>
  <w:style w:type="paragraph" w:styleId="181">
    <w:name w:val="toc 1"/>
    <w:basedOn w:val="727"/>
    <w:next w:val="727"/>
    <w:uiPriority w:val="39"/>
    <w:unhideWhenUsed/>
    <w:pPr>
      <w:ind w:left="0" w:right="0" w:firstLine="0"/>
      <w:spacing w:after="57"/>
    </w:pPr>
  </w:style>
  <w:style w:type="paragraph" w:styleId="182">
    <w:name w:val="toc 2"/>
    <w:basedOn w:val="727"/>
    <w:next w:val="727"/>
    <w:uiPriority w:val="39"/>
    <w:unhideWhenUsed/>
    <w:pPr>
      <w:ind w:left="283" w:right="0" w:firstLine="0"/>
      <w:spacing w:after="57"/>
    </w:pPr>
  </w:style>
  <w:style w:type="paragraph" w:styleId="183">
    <w:name w:val="toc 3"/>
    <w:basedOn w:val="727"/>
    <w:next w:val="727"/>
    <w:uiPriority w:val="39"/>
    <w:unhideWhenUsed/>
    <w:pPr>
      <w:ind w:left="567" w:right="0" w:firstLine="0"/>
      <w:spacing w:after="57"/>
    </w:pPr>
  </w:style>
  <w:style w:type="paragraph" w:styleId="184">
    <w:name w:val="toc 4"/>
    <w:basedOn w:val="727"/>
    <w:next w:val="727"/>
    <w:uiPriority w:val="39"/>
    <w:unhideWhenUsed/>
    <w:pPr>
      <w:ind w:left="850" w:right="0" w:firstLine="0"/>
      <w:spacing w:after="57"/>
    </w:pPr>
  </w:style>
  <w:style w:type="paragraph" w:styleId="185">
    <w:name w:val="toc 5"/>
    <w:basedOn w:val="727"/>
    <w:next w:val="727"/>
    <w:uiPriority w:val="39"/>
    <w:unhideWhenUsed/>
    <w:pPr>
      <w:ind w:left="1134" w:right="0" w:firstLine="0"/>
      <w:spacing w:after="57"/>
    </w:pPr>
  </w:style>
  <w:style w:type="paragraph" w:styleId="186">
    <w:name w:val="toc 6"/>
    <w:basedOn w:val="727"/>
    <w:next w:val="727"/>
    <w:uiPriority w:val="39"/>
    <w:unhideWhenUsed/>
    <w:pPr>
      <w:ind w:left="1417" w:right="0" w:firstLine="0"/>
      <w:spacing w:after="57"/>
    </w:pPr>
  </w:style>
  <w:style w:type="paragraph" w:styleId="187">
    <w:name w:val="toc 7"/>
    <w:basedOn w:val="727"/>
    <w:next w:val="727"/>
    <w:uiPriority w:val="39"/>
    <w:unhideWhenUsed/>
    <w:pPr>
      <w:ind w:left="1701" w:right="0" w:firstLine="0"/>
      <w:spacing w:after="57"/>
    </w:pPr>
  </w:style>
  <w:style w:type="paragraph" w:styleId="188">
    <w:name w:val="toc 8"/>
    <w:basedOn w:val="727"/>
    <w:next w:val="727"/>
    <w:uiPriority w:val="39"/>
    <w:unhideWhenUsed/>
    <w:pPr>
      <w:ind w:left="1984" w:right="0" w:firstLine="0"/>
      <w:spacing w:after="57"/>
    </w:pPr>
  </w:style>
  <w:style w:type="paragraph" w:styleId="189">
    <w:name w:val="toc 9"/>
    <w:basedOn w:val="727"/>
    <w:next w:val="727"/>
    <w:uiPriority w:val="39"/>
    <w:unhideWhenUsed/>
    <w:pPr>
      <w:ind w:left="2268" w:right="0" w:firstLine="0"/>
      <w:spacing w:after="57"/>
    </w:pPr>
  </w:style>
  <w:style w:type="paragraph" w:styleId="190">
    <w:name w:val="TOC Heading"/>
    <w:uiPriority w:val="39"/>
    <w:unhideWhenUsed/>
  </w:style>
  <w:style w:type="paragraph" w:styleId="191">
    <w:name w:val="table of figures"/>
    <w:basedOn w:val="727"/>
    <w:next w:val="727"/>
    <w:uiPriority w:val="99"/>
    <w:unhideWhenUsed/>
    <w:pPr>
      <w:spacing w:after="0" w:afterAutospacing="0"/>
    </w:pPr>
  </w:style>
  <w:style w:type="paragraph" w:styleId="727" w:default="1">
    <w:name w:val="Normal"/>
    <w:qFormat/>
  </w:style>
  <w:style w:type="character" w:styleId="728" w:default="1">
    <w:name w:val="Default Paragraph Font"/>
    <w:uiPriority w:val="1"/>
    <w:semiHidden/>
    <w:unhideWhenUsed/>
  </w:style>
  <w:style w:type="table" w:styleId="729" w:default="1">
    <w:name w:val="Normal Table"/>
    <w:uiPriority w:val="99"/>
    <w:semiHidden/>
    <w:unhideWhenUsed/>
    <w:qFormat/>
    <w:tblPr>
      <w:tblInd w:w="0" w:type="dxa"/>
      <w:tblCellMar>
        <w:left w:w="108" w:type="dxa"/>
        <w:top w:w="0" w:type="dxa"/>
        <w:right w:w="108" w:type="dxa"/>
        <w:bottom w:w="0" w:type="dxa"/>
      </w:tblCellMar>
    </w:tblPr>
  </w:style>
  <w:style w:type="numbering" w:styleId="730" w:default="1">
    <w:name w:val="No List"/>
    <w:uiPriority w:val="99"/>
    <w:semiHidden/>
    <w:unhideWhenUsed/>
  </w:style>
  <w:style w:type="table" w:styleId="731">
    <w:name w:val="Table Grid"/>
    <w:basedOn w:val="72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732">
    <w:name w:val="Header"/>
    <w:basedOn w:val="727"/>
    <w:link w:val="733"/>
    <w:uiPriority w:val="99"/>
    <w:unhideWhenUsed/>
    <w:pPr>
      <w:spacing w:after="0" w:line="240" w:lineRule="auto"/>
      <w:tabs>
        <w:tab w:val="center" w:pos="4677" w:leader="none"/>
        <w:tab w:val="right" w:pos="9355" w:leader="none"/>
      </w:tabs>
    </w:pPr>
    <w:rPr>
      <w:rFonts w:ascii="Times New Roman" w:hAnsi="Times New Roman"/>
      <w:sz w:val="28"/>
    </w:rPr>
  </w:style>
  <w:style w:type="character" w:styleId="733" w:customStyle="1">
    <w:name w:val="Верхний колонтитул Знак"/>
    <w:basedOn w:val="728"/>
    <w:link w:val="732"/>
    <w:uiPriority w:val="99"/>
    <w:rPr>
      <w:rFonts w:ascii="Times New Roman" w:hAnsi="Times New Roman"/>
      <w:sz w:val="28"/>
    </w:rPr>
  </w:style>
  <w:style w:type="table" w:styleId="734" w:customStyle="1">
    <w:name w:val="Сетка таблицы светлая1"/>
    <w:basedOn w:val="729"/>
    <w:next w:val="729"/>
    <w:uiPriority w:val="40"/>
    <w:pPr>
      <w:spacing w:after="0" w:line="240" w:lineRule="auto"/>
    </w:p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735">
    <w:name w:val="Footer"/>
    <w:basedOn w:val="727"/>
    <w:link w:val="736"/>
    <w:uiPriority w:val="99"/>
    <w:unhideWhenUsed/>
    <w:pPr>
      <w:spacing w:after="0" w:line="240" w:lineRule="auto"/>
      <w:tabs>
        <w:tab w:val="center" w:pos="4677" w:leader="none"/>
        <w:tab w:val="right" w:pos="9355" w:leader="none"/>
      </w:tabs>
    </w:pPr>
    <w:rPr>
      <w:rFonts w:ascii="Times New Roman" w:hAnsi="Times New Roman"/>
      <w:sz w:val="28"/>
    </w:rPr>
  </w:style>
  <w:style w:type="character" w:styleId="736" w:customStyle="1">
    <w:name w:val="Нижний колонтитул Знак"/>
    <w:basedOn w:val="728"/>
    <w:link w:val="735"/>
    <w:uiPriority w:val="99"/>
    <w:rPr>
      <w:rFonts w:ascii="Times New Roman" w:hAnsi="Times New Roman"/>
      <w:sz w:val="28"/>
    </w:rPr>
  </w:style>
  <w:style w:type="character" w:styleId="737">
    <w:name w:val="Hyperlink"/>
    <w:basedOn w:val="728"/>
    <w:uiPriority w:val="99"/>
    <w:unhideWhenUsed/>
    <w:rPr>
      <w:color w:val="0563c1" w:themeColor="hyperlink"/>
      <w:u w:val="single"/>
    </w:rPr>
  </w:style>
  <w:style w:type="character" w:styleId="738" w:customStyle="1">
    <w:name w:val="Unresolved Mention"/>
    <w:basedOn w:val="728"/>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yperlink" Target="mailto:mok@58.mailop.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ONLYOFFICE/7.3.0.184</Application>
  <Company>Прокуратура РФ</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Санкова Алина Андреевна</dc:creator>
  <cp:keywords/>
  <dc:description/>
  <cp:revision>9</cp:revision>
  <dcterms:created xsi:type="dcterms:W3CDTF">2023-05-18T15:27:00Z</dcterms:created>
  <dcterms:modified xsi:type="dcterms:W3CDTF">2023-06-14T14:06:52Z</dcterms:modified>
</cp:coreProperties>
</file>