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31"/>
        <w:tblW w:w="9781" w:type="dxa"/>
        <w:tblInd w:w="-142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701"/>
        <w:gridCol w:w="423"/>
        <w:gridCol w:w="1137"/>
        <w:gridCol w:w="816"/>
        <w:gridCol w:w="4819"/>
      </w:tblGrid>
      <w:tr>
        <w:trPr>
          <w:trHeight w:val="1135" w:hRule="exact"/>
        </w:trPr>
        <w:tc>
          <w:tcPr>
            <w:gridSpan w:val="5"/>
            <w:tcW w:w="49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ascii="Times New Roman" w:hAnsi="Times New Roman" w:eastAsia="Calibri" w:cs="Times New Roman"/>
                <w:sz w:val="28"/>
              </w:rPr>
            </w:r>
            <w:r/>
          </w:p>
          <w:p>
            <w:pPr>
              <w:ind w:left="113"/>
              <w:jc w:val="center"/>
              <w:tabs>
                <w:tab w:val="right" w:pos="4784" w:leader="none"/>
              </w:tabs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spacing w:before="24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/>
          </w:p>
        </w:tc>
      </w:tr>
      <w:tr>
        <w:trPr>
          <w:trHeight w:val="2705"/>
        </w:trPr>
        <w:tc>
          <w:tcPr>
            <w:gridSpan w:val="5"/>
            <w:tcW w:w="4962" w:type="dxa"/>
            <w:vMerge w:val="continue"/>
            <w:textDirection w:val="lrTb"/>
            <w:noWrap w:val="false"/>
          </w:tcPr>
          <w:p>
            <w:pPr>
              <w:ind w:left="113"/>
              <w:tabs>
                <w:tab w:val="right" w:pos="4784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ind w:left="-78" w:right="178"/>
              <w:spacing w:line="240" w:lineRule="exac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Главам администраций</w:t>
            </w:r>
            <w:r/>
          </w:p>
          <w:p>
            <w:pPr>
              <w:ind w:left="-78" w:right="178"/>
              <w:spacing w:line="240" w:lineRule="exac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муниципальных образований  </w:t>
            </w:r>
            <w:r/>
          </w:p>
          <w:p>
            <w:pPr>
              <w:ind w:left="-78" w:right="178"/>
              <w:spacing w:line="240" w:lineRule="exac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Мокшанского района </w:t>
            </w:r>
            <w:r/>
          </w:p>
          <w:p>
            <w:pPr>
              <w:ind w:left="-78" w:right="178"/>
              <w:spacing w:line="240" w:lineRule="exac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Пензенской области </w:t>
            </w:r>
            <w:r/>
          </w:p>
          <w:p>
            <w:pPr>
              <w:ind w:left="-78" w:right="178"/>
              <w:spacing w:line="240" w:lineRule="exac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/>
          </w:p>
        </w:tc>
      </w:tr>
      <w:tr>
        <w:trPr>
          <w:trHeight w:val="421"/>
        </w:trPr>
        <w:tc>
          <w:tcPr>
            <w:gridSpan w:val="5"/>
            <w:tcW w:w="4962" w:type="dxa"/>
            <w:textDirection w:val="lrTb"/>
            <w:noWrap w:val="false"/>
          </w:tcPr>
          <w:p>
            <w:pPr>
              <w:ind w:left="-71"/>
              <w:jc w:val="both"/>
              <w:spacing w:after="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/>
            <w:bookmarkStart w:id="0" w:name="REGNUMDATESTAMP"/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xml:space="preserve">штамп регистрации</w:t>
            </w:r>
            <w:bookmarkEnd w:id="0"/>
            <w:r/>
            <w:r/>
          </w:p>
        </w:tc>
        <w:tc>
          <w:tcPr>
            <w:tcW w:w="4819" w:type="dxa"/>
            <w:vMerge w:val="continue"/>
            <w:textDirection w:val="lrTb"/>
            <w:noWrap w:val="false"/>
          </w:tcPr>
          <w:p>
            <w:pPr>
              <w:ind w:left="227"/>
              <w:spacing w:after="60"/>
              <w:rPr>
                <w:rFonts w:ascii="Times New Roman" w:hAnsi="Times New Roman" w:eastAsia="Calibri" w:cs="Times New Roman"/>
                <w:sz w:val="18"/>
              </w:rPr>
            </w:pPr>
            <w:r>
              <w:rPr>
                <w:rFonts w:ascii="Times New Roman" w:hAnsi="Times New Roman" w:eastAsia="Calibri" w:cs="Times New Roman"/>
                <w:sz w:val="18"/>
              </w:rPr>
            </w:r>
            <w:r/>
          </w:p>
        </w:tc>
      </w:tr>
      <w:tr>
        <w:trPr>
          <w:trHeight w:val="553" w:hRule="exact"/>
        </w:trPr>
        <w:tc>
          <w:tcPr>
            <w:tcBorders>
              <w:bottom w:val="none" w:color="000000" w:sz="4" w:space="0"/>
            </w:tcBorders>
            <w:tcW w:w="88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18"/>
              </w:rPr>
            </w:pPr>
            <w:r>
              <w:rPr>
                <w:rFonts w:ascii="Times New Roman" w:hAnsi="Times New Roman" w:eastAsia="Calibri" w:cs="Times New Roman"/>
                <w:sz w:val="18"/>
              </w:rPr>
              <w:t xml:space="preserve">На №</w:t>
            </w:r>
            <w:r/>
          </w:p>
        </w:tc>
        <w:tc>
          <w:tcPr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18"/>
              </w:rPr>
            </w:pPr>
            <w:r/>
            <w:bookmarkStart w:id="1" w:name="_GoBack"/>
            <w:r/>
            <w:bookmarkEnd w:id="1"/>
            <w:r/>
            <w:r/>
          </w:p>
        </w:tc>
        <w:tc>
          <w:tcPr>
            <w:tcBorders>
              <w:bottom w:val="none" w:color="000000" w:sz="4" w:space="0"/>
            </w:tcBorders>
            <w:tcW w:w="42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18"/>
              </w:rPr>
            </w:pPr>
            <w:r>
              <w:rPr>
                <w:rFonts w:ascii="Times New Roman" w:hAnsi="Times New Roman" w:eastAsia="Calibri" w:cs="Times New Roman"/>
                <w:sz w:val="18"/>
              </w:rPr>
              <w:t xml:space="preserve">от</w:t>
            </w:r>
            <w:r/>
          </w:p>
        </w:tc>
        <w:tc>
          <w:tcPr>
            <w:tcBorders>
              <w:bottom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18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18"/>
                <w:lang w:val="en-US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8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18"/>
              </w:rPr>
            </w:pPr>
            <w:r>
              <w:rPr>
                <w:rFonts w:ascii="Times New Roman" w:hAnsi="Times New Roman" w:eastAsia="Calibri" w:cs="Times New Roman"/>
                <w:sz w:val="18"/>
              </w:rPr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18"/>
              </w:rPr>
            </w:pPr>
            <w:r>
              <w:rPr>
                <w:rFonts w:ascii="Times New Roman" w:hAnsi="Times New Roman" w:eastAsia="Calibri" w:cs="Times New Roman"/>
                <w:sz w:val="18"/>
              </w:rPr>
            </w:r>
            <w:r/>
          </w:p>
        </w:tc>
      </w:tr>
      <w:tr>
        <w:trPr>
          <w:trHeight w:val="20"/>
        </w:trPr>
        <w:tc>
          <w:tcPr>
            <w:tcBorders>
              <w:bottom w:val="none" w:color="000000" w:sz="4" w:space="0"/>
            </w:tcBorders>
            <w:tcW w:w="8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42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r>
            <w:r/>
          </w:p>
        </w:tc>
        <w:tc>
          <w:tcPr>
            <w:gridSpan w:val="2"/>
            <w:tcBorders>
              <w:bottom w:val="none" w:color="000000" w:sz="4" w:space="0"/>
            </w:tcBorders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r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8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2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pPr>
            <w:r>
              <w:rPr>
                <w:rFonts w:ascii="Times New Roman" w:hAnsi="Times New Roman" w:eastAsia="Calibri" w:cs="Times New Roman"/>
                <w:color w:val="d9d9d9"/>
                <w:sz w:val="10"/>
                <w:szCs w:val="10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481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240" w:lineRule="exact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ИНФОРМАЦИЯ</w:t>
      </w:r>
      <w:r/>
    </w:p>
    <w:p>
      <w:pPr>
        <w:ind w:right="4534"/>
        <w:jc w:val="both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right="4534"/>
        <w:jc w:val="both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размещения на официальном интернет-сайте и в информационном бюллетене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/>
      <w:bookmarkStart w:id="2" w:name="_Hlk122105023"/>
      <w:r/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/>
      <w:bookmarkStart w:id="3" w:name="_Hlk135163894"/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Направляю Вам для размещения в информационном бюллетене                                     и на официальном сайте администрации муниципального образования следующую разъяснительную информацию: 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Административная и уголовная ответственность за неуплату алиментов на содержание несовершеннолетних детей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 соответствии с частью 2 статьи 38 Конституции Российской Федерации забота о детях, их воспитание – равное право и обязанность родителей. Статьей 63 Семейного код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екса Российской Федерации установлено, что родители имеют право и обязаны воспитывать своих детей. Они несут ответственность за воспитание и развитие своих детей, обязаны заботиться об их здоровье, физическом, психическом, духовном и нравственном развитии.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Ст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атьей 80 Семейного кодекса Российской Федерации установлена обязанность родителей по содержанию своих детей. Неуплата алиментов на содержание несовершеннолетних детей может повлечь за собой гражданско-правовую, административную и уголовную ответственность.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К примеру, если родитель без уважительных причин в нарушение решения суда или нотариально удостоверенного соглашения не уплачивает алименты в течение двух и более месяцев со дня возбуждения исполнительного производства и если такие действия не содер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жат уголовно наказуемого деяния, то такой родитель может быть привлечен к административной ответственности в виде обязательных работ до 150 часов либо административного ареста на срок от 10 до 15 суток или административного штрафа в размере 20 000 рублей (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 1 ст. 5.35.1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КоАП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РФ).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Уголовная ответственность по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 1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ст. 157 УК РФ наступает, если родитель не уплатил алименты без уважительных причин неоднократно, был привлечен к административной ответственности за неуплату алиментов и считается подвергнутым административному наказанию (п. 1 Примечания к ст. 157 УК РФ).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Пунктом 1 примечания к ст. 157 УК РФ разъясняется, что неуплатой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детей, а равно нетрудоспособных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детей, достигших восемнадцатилетнего возраста, если это деяние совершено неоднократно, признается неуплата родителем без уважительных причин в нарушение решения суда или нотариально удостоверенного соглашения средств в размере, установленном в соответствии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с решением суда или нотариально удостоверенным согла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шением, на содержание несовершеннолетних детей, а равно нетрудоспособных детей, достигших восемнадцатилетнего возраста, подвергнутым административному наказанию за аналогичное деяние, в период, когда лицо считается подвергнутым административному наказанию.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Кроме того, за несвоевременную уплату алиментов без уважительных причин возможно взыскание неустойки в судебном порядке в рамках гражданского судопроизводства.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Следует отметить, что алименты на несовершеннолетних детей удерживаются с заработной платы (денежного вознаграждения, содержание) как по основному месту работы, так и за работу по совместительству, которую получают родители в денежной форме.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Также алименты удерживаются, например, со всех видов пенсий, стипендий, с пособий по временной нетрудоспособности (п. 1, п.п. «а» - «в» п. 2 Перечня, утвержденного постановлением Правительства Российской Федерации от 02.11.2021 № 1908).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Ответственность за несвоевременную уплату штрафа за нарушение ПДД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По результатам привлечения к административной ответственности за нарушения ПДД у вас есть 1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0 дней на обжалование и 60 дней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на погашение штрафа. 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Таким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образом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через 70 дней штраф должен быть оплачен.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Кроме того, штраф может быть оплачен привлеченным к ответственности лицом до вступления  постановления  в законную силу (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 1.5 ст.32.2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КоАП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РФ).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Если прошло 70 дней, а штраф был не оплачен, то лицу, подвергнутому административному наказанию грозит еще один штраф, но в 2 раза больше предыдущего.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Новое административное наказание м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ожет назначить только суд с участием виновного лица. На практике это означает, что новое наказание за просроченный штраф можно получить, только если виновное лицо остановит сотрудник ГИБДД и принудительно доставит к судье. На это у него имеются полномочия.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Вместо денежного взыскания судья может назначить наказание в виде ареста сроком до 15 суток или обязательных работ сроком до 50 часов.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Указанное наказание не может применяться за правонарушения в области дорожного движения, зафиксированные автоматическими средствами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фото-и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видеофиксации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У наказания за неуплату штрафа есть срок давности, а именно 3 месяца. Если вы просрочили оплату, то в течение 90 дней вас могут доставить к судье и назначить новый штраф.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Если 90 дней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прошло-никакого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дополнительного взыскания не будет.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Может ли работник отказаться от ежегодного отпуска, запланированного графиком отпусков?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Может, в случае наличия есть уважительные причины для отказа и переноса отпуска на другие даты.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числе таких случаев относится  нарушение срока выплаты отпускных, уведомление об отпуске работника менее чем за две недели. Тогда по письменному заявлению работника отпуск нужно перенести, а новый срок согласовать с ним (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 2 ст. 124 ТК РФ).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Также имеют место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случаи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когда работник относится к той категории, кто вправе пойти в отпуск удобное для них время, например, работники с тремя и более детьми в возрасте до 18 лет, младшему из которых не исполнилось 14 лет (ч. 4 ст. 123, ст. 262.2 ТК РФ).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Запрещено переносить ежегодный оплачиваемый отпуск работника на следующий рабочий год, если (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 4 ст. 124 ТК РФ): работник несовершеннолетний; работник занят на работах с вредными и (или) опасными условиями труда; из-за переноса отпуска получится, что работник работал без отпуска в течение двух лет подряд.﻿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Принят закон, смягчающий уголовную ответственность за налоговые преступления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Федеральным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закон от 18.03.2023 № 78-ФЗ внесены изменения в Уголовный кодекс Российской Федерации и Уголовно-процессуальный кодекс Российской Федерации, которые регламентируют следующие аспекты.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Принятые поправки в уголовный и уголовно-процессуальный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закон направлены на смягчение, ослабление уголовной ответственности за совершение преступлений, предусмотренных статьями 199, 199.1, 199.2 и 199.4 УК РФ, которые связаны с уклонением от уплаты налогов и других обязательных платежей в сфере налогообложения.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Принятыми изменения в законе уменьшены предельные сроки наказания в виде лишения свобо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ды за совершение указанных налоговых преступлений, что, в свою очередь, привело к снижению категории преступления с тяжкого на преступление средней тяжести, и соответственно снижению сроков давности привлечения к уголовной ответственности за их совершение.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Необходимо отметить, что дополнительным основанием для принятия решения об отказе в возбуждении или прекращении уголовного дела по таким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статьямявляются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уплата сумм недоимки и соответствующих пеней и штрафа в полном объеме до момента принятия процессуального решения.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Об ответственности за разглашение информации с ограниченным доступом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 соответствии с частью 1 статьи 9 Федерального закона от 27.07.2006 №149-ФЗ «Об информации, информационных технологиях и о защите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информации» федеральными законами в целях защиты основ конституционного строя,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нравственности, здоровья, прав и законных интересов других лиц, обеспечения обороны страны и безопасности государства может быть ограничен доступ к информации. За разглашение конфиденциальной информации федеральными законами предусмотрена ответственность.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Так, в соответствии с Уголовным кодексом Российской Федерации (статьи 137, 138, 155, 183, 283, 310) за разглашение государственной, коммерческой, налоговой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или банковской тайны, данных предварительного расследования, нарушение неприкосновенности частной жизни, тайны усыновления (удочерения), тайны переписки, телефонных переговоров, почтовых, телеграфных или иных сообщений наступает уголовная ответственность.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Статьей 13.14 Кодекса Российской Федерации об административных правонарушениях предусмотрена административная ответственность за разглашение информ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ации, доступ к которой ограничен федеральным законом (за исключением случаев, если разглашение такой информации влечет уголовную ответственность) лицом, получившим доступ к такой информации в связи с исполнением служебных или профессиональных обязанностей.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Кроме того, виновное лицо может быть привлечено к дисциплинарной ответственности.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 соответствии с подпунктом «в» пункта 6 части первой статьи 81 Трудового кодекса Российской Федерации разглашение охраняемой законом тайны, ставшей известной работнику в связи с исполнением им трудовых обязанностей, является основанием для его увольнения.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Внесены изменения в законодательство, регулирующее порядок признания материалов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экстремистскими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На те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рритории Российской Федерации согласно статье 13 Федерального закона от 25.07.2002 № 114-ФЗ «О противодействии экстремистской деятельности» запрещается распространение экстремистских материалов, а также их производство или хранение в целях распространения.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Федеральным судом информационные материалы признаются экстремистскими по месту их обнаружения,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распространения или нахождения организации, осуществившей производство таких материалов, на основании заявления прокурора или при производстве по соответствующему делу об административном правонарушении, гражданскому, административному или уголовному делу.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экстремистскими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 15.07.20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23 вступает в законную силу Федеральный закон от 14.07.2022 № 303-ФЗ «О внесении изменений в статью 265.10 Кодекса административного судопроизводства Российской Федерации и статьи 13 и 15 Федерального закона «О противодействии экстремистской деятельности».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Согласно из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менениям, вместе с административным исковым заявлением о признании информационных материалов экстремистскими прокурор представляет в суд в электронном виде оспариваемые информационные материалы, суд обязан в трехдневный срок направлять в федеральный орган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государственной регистрации копию вступившего в законную силу решения суда, материалы, в отношении которых состоялось решение.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Какая ответственность предусмотрена, если напала соседская собака?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Согласно пункту 1 статьи 1064 Гражданского кодекса Российской Федерации вред, причиненный личности или имуществу гражданина, подлежит возмещению в полном объеме лицом, причинившим вред.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Таким образом, если в результате действий домашнего животного гражданину или его имуществу причинен материальный ущерб, ф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изический вред или нравственные страдания, то законный владелец данного животного несет гражданско-правовую ответственность, которая выражается в обязанности возместить пострадавшему понесенные им расходы, а также компенсировать причиненный моральный вред.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При этом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в случае, если будет установлен умысел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законного владельца домашнего животного на причинение вреда другому лицу, то возможно привлечение такого лица к уголовной ответственности за совершение преступления, направленного против жизни и здоровья в зависимости от степени тяжести причиненного вреда.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Можно ли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сменить поликлинику, в которой получа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ете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ме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дицинскую помощь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?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Согласно ст. 21 Федерального закона от 21.11.2011 № 323-ФЗ «Об основах охраны здоровья граждан в Российской Федерации»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 выбранной медицинской организации гражданин осуществляет выбор не чаще чем один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разв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год (за исключением случаев замены медицинской орга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Определен порядок предоставления дополнительных оплачиваемых выходных дней родителям детей с инвалидностью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Постановлением Правительства РФ от 06.05.2023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714 «О предоставлении дополнительных оплачиваемых выходных дней для ухода за детьми-инвалидами» закреплено, что с 1 сентября 2023 года родитель (опекун, попечитель) ребенка-инвалида сможет накаплив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ать неиспользованные в течение календарного года дополнительные выходные дни и взять до 24 дополнительных выходных дней подряд для ухода за ребенком-инвалидом. Для этого необходимо будет подать письменное заявление работодателю в согласованные с ним сроки.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Также постановлением предусмотрена возможность предоставления одному из родителей ребенка-инвалида дополнительных выходных дней, оставшихся неиспользованными у другого родителя.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Реализованы положения Федерального закона от 05.12.2022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№ 491-ФЗ «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О внесении изменения в статью 262 Трудово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го кодекса Российской Федерации»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Настоящее постановление вступает в силу с 1 сентября 2023 года и действует до 1 сентября 2029 года. Признано утратившим силу постановление Правительства от 13 октября 2014 г.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№ 1048 «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О порядке предоставления дополнительных оплачиваемых выходных дней для ухода за детьми-инвалидами"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Как заключить договор о полной индивидуальной материальной ответственности?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Согласно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 1 ст. 244 ТК РФ с работником может быть заключен договор о полной индивидуальной материальной ответственности за недостачу имущества, вверенного работникам, непосредственно обслуживающим или использующим денежные, товарные ценности или иное имущество.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Целью заключения такого договора является возмещение работодателю вероятного ущерба в полном размере. Отсутствие данного договора не позволяет работодателю привлечь работника к полной материальной ответственности.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Для привлечения работника к полной материальной ответственности согласно ст. 244 ТК РФ необходимо наличие следующих условий: достижение работником возраста 18 лет (ч. 1 ст. 244 ТК РФ);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выполнение работником функций, которые связаны с обслуживанием денежных, товарных ценностей, по должности, предусмотренной Перечнем до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лжностей и работ, замещаемых или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 (утв. Постановлением Минтруда России от 31.12.2002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85); заключение договора о полной индивидуальной материальной ответственности;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совершение работником виновных и противоправных действий при обслуживании вверенных ему ценностей; причинно-следственная связь.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КоАП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 РФ внесены изменения в части наказания за безрецептурный отпуск лекарств и за продажу сигарет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Статью 14.4.2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КоАП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РФ дополнили пунктом, предусматривающим административную ответственность за безрецептурный отпуск лекарственных препаратов, если эти действия не содержат признаков уголовно наказуемого деяния.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Должностных лиц (включая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фармработников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) оштрафуют на сумму от 10 тыс. до 20 тыс. руб. или дисквалифицируют на срок от 6 месяцев до 1 года. Для ИП штраф составит 50-100 тыс. руб., для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юрлиц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- 150-200 тыс. руб.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Кроме того, с 1-2 тыс. до 2-5 тыс. руб. увеличен штраф для граждан за вовлечение несовершеннолетнего в процесс потребления табака или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никотинсодержащей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продукции, а для родителей (законных представителей) несовершеннолетнего - с 2-3 тыс. до 5-7 тыс. руб.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Также повышены штрафы за продажу несовершеннолетнему табачной и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никотинсодержащей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продукции, табачных изделий, кальянов, устройств для потребления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никотинсодержащей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продукции: для граждан - с 20-40 тыс. руб. до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40-60 тыс. руб.; для должностных лиц - с 40-70 тыс. руб. до 150-300 тыс. руб.; для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юрлиц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- со 150-300 тыс. руб. до 400-600 тыс. руб. 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После опубликования информаций, прошу направить копии бюллетеней на электронную почту прокуратуры </w:t>
      </w:r>
      <w:hyperlink r:id="rId10" w:tooltip="mailto:mok@58.mailop.ru" w:history="1">
        <w:r>
          <w:rPr>
            <w:rStyle w:val="737"/>
            <w:rFonts w:ascii="Times New Roman" w:hAnsi="Times New Roman" w:eastAsia="Calibri" w:cs="Times New Roman"/>
            <w:b/>
            <w:sz w:val="28"/>
            <w:szCs w:val="28"/>
          </w:rPr>
          <w:t xml:space="preserve">mok@58.mailop.ru</w:t>
        </w:r>
      </w:hyperlink>
      <w:r>
        <w:rPr>
          <w:rFonts w:ascii="Times New Roman" w:hAnsi="Times New Roman" w:eastAsia="Calibri" w:cs="Times New Roman"/>
          <w:b/>
          <w:sz w:val="28"/>
          <w:szCs w:val="28"/>
        </w:rPr>
        <w:t xml:space="preserve">.  </w:t>
      </w:r>
      <w:bookmarkEnd w:id="2"/>
      <w:bookmarkEnd w:id="3"/>
      <w:r/>
    </w:p>
    <w:p>
      <w:pPr>
        <w:ind w:firstLine="709"/>
        <w:spacing w:after="0" w:line="240" w:lineRule="exact"/>
        <w:rPr>
          <w:rFonts w:ascii="Times New Roman" w:hAnsi="Times New Roman" w:eastAsia="Calibri" w:cs="Times New Roman"/>
          <w:sz w:val="28"/>
        </w:rPr>
      </w:pPr>
      <w:r>
        <w:rPr>
          <w:rFonts w:ascii="Times New Roman" w:hAnsi="Times New Roman" w:eastAsia="Calibri" w:cs="Times New Roman"/>
          <w:sz w:val="28"/>
        </w:rPr>
      </w:r>
      <w:r/>
    </w:p>
    <w:p>
      <w:pPr>
        <w:ind w:firstLine="709"/>
        <w:spacing w:after="0" w:line="240" w:lineRule="exact"/>
        <w:rPr>
          <w:rFonts w:ascii="Times New Roman" w:hAnsi="Times New Roman" w:eastAsia="Calibri" w:cs="Times New Roman"/>
          <w:sz w:val="28"/>
        </w:rPr>
      </w:pPr>
      <w:r>
        <w:rPr>
          <w:rFonts w:ascii="Times New Roman" w:hAnsi="Times New Roman" w:eastAsia="Calibri" w:cs="Times New Roman"/>
          <w:sz w:val="28"/>
        </w:rPr>
      </w:r>
      <w:r/>
    </w:p>
    <w:tbl>
      <w:tblPr>
        <w:tblStyle w:val="731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86"/>
        <w:gridCol w:w="5153"/>
      </w:tblGrid>
      <w:tr>
        <w:trPr/>
        <w:tc>
          <w:tcPr>
            <w:tcMar>
              <w:left w:w="0" w:type="dxa"/>
              <w:right w:w="0" w:type="dxa"/>
            </w:tcMar>
            <w:tcW w:w="4486" w:type="dxa"/>
            <w:vAlign w:val="bottom"/>
            <w:textDirection w:val="lrTb"/>
            <w:noWrap w:val="false"/>
          </w:tcPr>
          <w:p>
            <w:pPr>
              <w:spacing w:line="240" w:lineRule="exac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Прокурор района</w:t>
            </w:r>
            <w:r/>
          </w:p>
          <w:p>
            <w:pPr>
              <w:spacing w:line="240" w:lineRule="exac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/>
          </w:p>
          <w:p>
            <w:pPr>
              <w:spacing w:line="240" w:lineRule="exac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советник юстиции</w:t>
            </w:r>
            <w:r/>
          </w:p>
        </w:tc>
        <w:tc>
          <w:tcPr>
            <w:tcW w:w="5153" w:type="dxa"/>
            <w:vAlign w:val="bottom"/>
            <w:textDirection w:val="lrTb"/>
            <w:noWrap w:val="false"/>
          </w:tcPr>
          <w:p>
            <w:pPr>
              <w:ind w:right="-111" w:firstLine="709"/>
              <w:jc w:val="right"/>
              <w:spacing w:line="240" w:lineRule="exac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/>
            <w:bookmarkStart w:id="4" w:name="SIGNERNAME1"/>
            <w:r>
              <w:rPr>
                <w:rFonts w:ascii="Times New Roman" w:hAnsi="Times New Roman" w:eastAsia="Calibri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instrText xml:space="preserve"> </w:instrTex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  <w:instrText xml:space="preserve">MACROBUTTON NoMacro </w:instrTex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instrText xml:space="preserve">ИОФ подписанта</w:instrTex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fldChar w:fldCharType="end"/>
            </w:r>
            <w:bookmarkEnd w:id="4"/>
            <w:r/>
            <w:r/>
          </w:p>
        </w:tc>
      </w:tr>
    </w:tbl>
    <w:p>
      <w:pPr>
        <w:ind w:left="3545" w:firstLine="709"/>
        <w:spacing w:before="240"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/>
      <w:bookmarkStart w:id="5" w:name="SIGNERSTAMP1"/>
      <w:r>
        <w:rPr>
          <w:rFonts w:ascii="Times New Roman" w:hAnsi="Times New Roman" w:eastAsia="Calibri" w:cs="Times New Roman"/>
          <w:color w:val="d9d9d9"/>
          <w:sz w:val="28"/>
          <w:szCs w:val="28"/>
        </w:rPr>
        <w:t xml:space="preserve">штамп подписи 1</w:t>
      </w:r>
      <w:bookmarkEnd w:id="5"/>
      <w:r/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d9d9d9"/>
          <w:sz w:val="28"/>
          <w:szCs w:val="28"/>
        </w:rPr>
      </w:pPr>
      <w:r>
        <w:rPr>
          <w:rFonts w:ascii="Times New Roman" w:hAnsi="Times New Roman" w:eastAsia="Calibri" w:cs="Times New Roman"/>
          <w:color w:val="d9d9d9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/>
    </w:p>
    <w:p>
      <w:pPr>
        <w:spacing w:after="0" w:line="240" w:lineRule="auto"/>
      </w:pPr>
      <w:r>
        <w:rPr>
          <w:rFonts w:ascii="Times New Roman" w:hAnsi="Times New Roman" w:eastAsia="Calibri" w:cs="Times New Roman"/>
        </w:rPr>
        <w:t xml:space="preserve">А.А. Санкова, (84150) 2-21-68</w:t>
      </w:r>
      <w:r/>
    </w:p>
    <w:sectPr>
      <w:headerReference w:type="default" r:id="rId8"/>
      <w:footerReference w:type="first" r:id="rId9"/>
      <w:footnotePr/>
      <w:endnotePr/>
      <w:type w:val="nextPage"/>
      <w:pgSz w:w="11906" w:h="16838" w:orient="portrait"/>
      <w:pgMar w:top="284" w:right="567" w:bottom="426" w:left="1701" w:header="680" w:footer="516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731"/>
      <w:tblpPr w:horzAnchor="margin" w:tblpXSpec="left" w:vertAnchor="margin" w:tblpYSpec="bottom" w:leftFromText="113" w:topFromText="0" w:rightFromText="113" w:bottomFromText="0"/>
      <w:tblW w:w="5000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3401"/>
    </w:tblGrid>
    <w:tr>
      <w:trPr>
        <w:trHeight w:val="552"/>
      </w:trPr>
      <w:tc>
        <w:tcPr>
          <w:tcW w:w="6237" w:type="dxa"/>
          <w:textDirection w:val="lrTb"/>
          <w:noWrap w:val="false"/>
        </w:tcPr>
        <w:p>
          <w:pPr>
            <w:spacing w:line="240" w:lineRule="exact"/>
            <w:rPr>
              <w:lang w:val="en-US"/>
            </w:rPr>
          </w:pPr>
          <w:r>
            <w:rPr>
              <w:lang w:val="en-US"/>
            </w:rPr>
          </w:r>
          <w:r/>
        </w:p>
      </w:tc>
      <w:tc>
        <w:tcPr>
          <w:shd w:val="clear" w:color="auto" w:fill="auto"/>
          <w:tcBorders>
            <w:bottom w:val="single" w:color="auto" w:sz="4" w:space="0"/>
          </w:tcBorders>
          <w:tcW w:w="3401" w:type="dxa"/>
          <w:vAlign w:val="center"/>
          <w:textDirection w:val="lrTb"/>
          <w:noWrap w:val="false"/>
        </w:tcPr>
        <w:p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</w:tr>
    <w:tr>
      <w:trPr>
        <w:trHeight w:val="552"/>
      </w:trPr>
      <w:tc>
        <w:tcPr>
          <w:tcBorders>
            <w:right w:val="single" w:color="auto" w:sz="4" w:space="0"/>
          </w:tcBorders>
          <w:tcW w:w="6237" w:type="dxa"/>
          <w:textDirection w:val="lrTb"/>
          <w:noWrap w:val="false"/>
        </w:tcPr>
        <w:p>
          <w:pPr>
            <w:spacing w:line="240" w:lineRule="exact"/>
          </w:pPr>
          <w:r/>
          <w:r/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3401" w:type="dxa"/>
          <w:vAlign w:val="center"/>
          <w:textDirection w:val="lrTb"/>
          <w:noWrap w:val="false"/>
        </w:tcPr>
        <w:p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Прокуратура </w:t>
          </w:r>
          <w:r>
            <w:rPr>
              <w:sz w:val="18"/>
              <w:szCs w:val="18"/>
            </w:rPr>
            <w:t xml:space="preserve">Мокшанского района </w:t>
          </w:r>
          <w:r>
            <w:rPr>
              <w:sz w:val="18"/>
              <w:szCs w:val="18"/>
            </w:rPr>
            <w:t xml:space="preserve">Пензенской области</w:t>
          </w:r>
          <w:r/>
        </w:p>
        <w:p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</w:t>
          </w:r>
          <w:r>
            <w:rPr>
              <w:sz w:val="18"/>
              <w:szCs w:val="18"/>
            </w:rPr>
            <w:t xml:space="preserve">  </w:t>
          </w:r>
          <w:r>
            <w:rPr>
              <w:sz w:val="18"/>
              <w:szCs w:val="18"/>
            </w:rPr>
            <w:t xml:space="preserve">№</w:t>
          </w:r>
          <w:bookmarkStart w:id="6" w:name="REGNUMSTAMP"/>
          <w:r>
            <w:rPr>
              <w:sz w:val="18"/>
              <w:szCs w:val="18"/>
            </w:rPr>
            <w:t xml:space="preserve">  </w:t>
          </w:r>
          <w:r>
            <w:rPr>
              <w:sz w:val="18"/>
              <w:szCs w:val="18"/>
            </w:rPr>
            <w:t xml:space="preserve">ШтампРегномер</w:t>
          </w:r>
          <w:bookmarkEnd w:id="6"/>
          <w:r/>
          <w:r/>
        </w:p>
      </w:tc>
    </w:tr>
  </w:tbl>
  <w:p>
    <w:pPr>
      <w:pStyle w:val="73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937834552"/>
      <w:docPartObj>
        <w:docPartGallery w:val="Page Numbers (Top of Page)"/>
        <w:docPartUnique w:val="true"/>
      </w:docPartObj>
      <w:rPr>
        <w:rFonts w:cs="Times New Roman"/>
        <w:szCs w:val="28"/>
      </w:rPr>
    </w:sdtPr>
    <w:sdtContent>
      <w:p>
        <w:pPr>
          <w:pStyle w:val="732"/>
          <w:jc w:val="center"/>
          <w:rPr>
            <w:rFonts w:cs="Times New Roman"/>
            <w:szCs w:val="28"/>
          </w:rPr>
        </w:pPr>
        <w:r>
          <w:rPr>
            <w:rFonts w:cs="Times New Roman"/>
            <w:szCs w:val="28"/>
          </w:rPr>
          <w:fldChar w:fldCharType="begin"/>
        </w:r>
        <w:r>
          <w:rPr>
            <w:rFonts w:cs="Times New Roman"/>
            <w:szCs w:val="28"/>
          </w:rPr>
          <w:instrText xml:space="preserve">PAGE   \* MERGEFORMAT</w:instrText>
        </w:r>
        <w:r>
          <w:rPr>
            <w:rFonts w:cs="Times New Roman"/>
            <w:szCs w:val="28"/>
          </w:rPr>
          <w:fldChar w:fldCharType="separate"/>
        </w:r>
        <w:r>
          <w:rPr>
            <w:rFonts w:cs="Times New Roman"/>
            <w:szCs w:val="28"/>
          </w:rPr>
          <w:t xml:space="preserve">7</w:t>
        </w:r>
        <w:r>
          <w:rPr>
            <w:rFonts w:cs="Times New Roman"/>
            <w:szCs w:val="28"/>
          </w:rPr>
          <w:fldChar w:fldCharType="end"/>
        </w:r>
        <w:r/>
      </w:p>
    </w:sdtContent>
  </w:sdt>
  <w:p>
    <w:pPr>
      <w:pStyle w:val="73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27"/>
    <w:next w:val="72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2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27"/>
    <w:next w:val="72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2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27"/>
    <w:next w:val="72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2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27"/>
    <w:next w:val="72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27"/>
    <w:next w:val="72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27"/>
    <w:next w:val="72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7"/>
    <w:next w:val="72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7"/>
    <w:next w:val="72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7"/>
    <w:next w:val="72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2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27"/>
    <w:next w:val="72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28"/>
    <w:link w:val="34"/>
    <w:uiPriority w:val="10"/>
    <w:rPr>
      <w:sz w:val="48"/>
      <w:szCs w:val="48"/>
    </w:rPr>
  </w:style>
  <w:style w:type="paragraph" w:styleId="36">
    <w:name w:val="Subtitle"/>
    <w:basedOn w:val="727"/>
    <w:next w:val="72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8"/>
    <w:link w:val="36"/>
    <w:uiPriority w:val="11"/>
    <w:rPr>
      <w:sz w:val="24"/>
      <w:szCs w:val="24"/>
    </w:rPr>
  </w:style>
  <w:style w:type="paragraph" w:styleId="38">
    <w:name w:val="Quote"/>
    <w:basedOn w:val="727"/>
    <w:next w:val="72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7"/>
    <w:next w:val="72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8"/>
    <w:link w:val="732"/>
    <w:uiPriority w:val="99"/>
  </w:style>
  <w:style w:type="character" w:styleId="45">
    <w:name w:val="Footer Char"/>
    <w:basedOn w:val="728"/>
    <w:link w:val="735"/>
    <w:uiPriority w:val="99"/>
  </w:style>
  <w:style w:type="paragraph" w:styleId="46">
    <w:name w:val="Caption"/>
    <w:basedOn w:val="727"/>
    <w:next w:val="7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35"/>
    <w:uiPriority w:val="99"/>
  </w:style>
  <w:style w:type="table" w:styleId="49">
    <w:name w:val="Table Grid Light"/>
    <w:basedOn w:val="7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2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28"/>
    <w:uiPriority w:val="99"/>
    <w:unhideWhenUsed/>
    <w:rPr>
      <w:vertAlign w:val="superscript"/>
    </w:rPr>
  </w:style>
  <w:style w:type="paragraph" w:styleId="178">
    <w:name w:val="endnote text"/>
    <w:basedOn w:val="7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8"/>
    <w:uiPriority w:val="99"/>
    <w:semiHidden/>
    <w:unhideWhenUsed/>
    <w:rPr>
      <w:vertAlign w:val="superscript"/>
    </w:rPr>
  </w:style>
  <w:style w:type="paragraph" w:styleId="181">
    <w:name w:val="toc 1"/>
    <w:basedOn w:val="727"/>
    <w:next w:val="72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7"/>
    <w:next w:val="72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7"/>
    <w:next w:val="72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7"/>
    <w:next w:val="72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7"/>
    <w:next w:val="72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7"/>
    <w:next w:val="7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7"/>
    <w:next w:val="7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7"/>
    <w:next w:val="7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7"/>
    <w:next w:val="7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7"/>
    <w:next w:val="727"/>
    <w:uiPriority w:val="99"/>
    <w:unhideWhenUsed/>
    <w:pPr>
      <w:spacing w:after="0" w:afterAutospacing="0"/>
    </w:pPr>
  </w:style>
  <w:style w:type="paragraph" w:styleId="727" w:default="1">
    <w:name w:val="Normal"/>
    <w:qFormat/>
  </w:style>
  <w:style w:type="character" w:styleId="728" w:default="1">
    <w:name w:val="Default Paragraph Font"/>
    <w:uiPriority w:val="1"/>
    <w:unhideWhenUsed/>
  </w:style>
  <w:style w:type="table" w:styleId="72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0" w:default="1">
    <w:name w:val="No List"/>
    <w:uiPriority w:val="99"/>
    <w:semiHidden/>
    <w:unhideWhenUsed/>
  </w:style>
  <w:style w:type="table" w:styleId="731">
    <w:name w:val="Table Grid"/>
    <w:basedOn w:val="7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32">
    <w:name w:val="Header"/>
    <w:basedOn w:val="727"/>
    <w:link w:val="73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733" w:customStyle="1">
    <w:name w:val="Верхний колонтитул Знак"/>
    <w:basedOn w:val="728"/>
    <w:link w:val="732"/>
    <w:uiPriority w:val="99"/>
    <w:rPr>
      <w:rFonts w:ascii="Times New Roman" w:hAnsi="Times New Roman"/>
      <w:sz w:val="28"/>
    </w:rPr>
  </w:style>
  <w:style w:type="table" w:styleId="734" w:customStyle="1">
    <w:name w:val="Сетка таблицы светлая1"/>
    <w:basedOn w:val="729"/>
    <w:next w:val="729"/>
    <w:uiPriority w:val="40"/>
    <w:pPr>
      <w:spacing w:after="0" w:line="240" w:lineRule="auto"/>
    </w:pPr>
    <w:tblPr>
      <w:tblInd w:w="0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35">
    <w:name w:val="Footer"/>
    <w:basedOn w:val="727"/>
    <w:link w:val="73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736" w:customStyle="1">
    <w:name w:val="Нижний колонтитул Знак"/>
    <w:basedOn w:val="728"/>
    <w:link w:val="735"/>
    <w:uiPriority w:val="99"/>
    <w:rPr>
      <w:rFonts w:ascii="Times New Roman" w:hAnsi="Times New Roman"/>
      <w:sz w:val="28"/>
    </w:rPr>
  </w:style>
  <w:style w:type="character" w:styleId="737">
    <w:name w:val="Hyperlink"/>
    <w:basedOn w:val="728"/>
    <w:uiPriority w:val="99"/>
    <w:unhideWhenUsed/>
    <w:rPr>
      <w:color w:val="0563c1" w:themeColor="hyperlink"/>
      <w:u w:val="single"/>
    </w:rPr>
  </w:style>
  <w:style w:type="character" w:styleId="738" w:customStyle="1">
    <w:name w:val="Unresolved Mention"/>
    <w:basedOn w:val="72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hyperlink" Target="mailto:mok@58.mailop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Company>Прокуратура РФ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Санкова Алина Андреевна</dc:creator>
  <cp:keywords/>
  <dc:description/>
  <cp:revision>11</cp:revision>
  <dcterms:created xsi:type="dcterms:W3CDTF">2023-05-18T15:27:00Z</dcterms:created>
  <dcterms:modified xsi:type="dcterms:W3CDTF">2023-06-14T14:08:26Z</dcterms:modified>
</cp:coreProperties>
</file>