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57724F">
        <w:t>1</w:t>
      </w:r>
      <w:r w:rsidR="00D26203">
        <w:t>6</w:t>
      </w:r>
      <w:r w:rsidR="008671BF">
        <w:t xml:space="preserve"> </w:t>
      </w:r>
      <w:r w:rsidR="00B64FB0">
        <w:t>(</w:t>
      </w:r>
      <w:r w:rsidR="00B673F6">
        <w:t>6</w:t>
      </w:r>
      <w:r w:rsidR="00D26203">
        <w:t>50</w:t>
      </w:r>
      <w:r w:rsidR="004A6813">
        <w:t>)</w:t>
      </w:r>
      <w:r w:rsidR="00E7511C">
        <w:t xml:space="preserve">  от   </w:t>
      </w:r>
      <w:r w:rsidR="00D26203">
        <w:t>22</w:t>
      </w:r>
      <w:r w:rsidR="006406EA">
        <w:t>.</w:t>
      </w:r>
      <w:r w:rsidR="00BD38C0">
        <w:t>0</w:t>
      </w:r>
      <w:r w:rsidR="008C1280">
        <w:t>5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530451" w:rsidRPr="00AD56EE" w:rsidRDefault="00530451" w:rsidP="00530451">
      <w:pPr>
        <w:ind w:firstLine="567"/>
        <w:jc w:val="both"/>
        <w:rPr>
          <w:color w:val="000000"/>
          <w:sz w:val="18"/>
          <w:szCs w:val="18"/>
        </w:rPr>
      </w:pPr>
      <w:r w:rsidRPr="00AD56EE">
        <w:rPr>
          <w:color w:val="000000"/>
          <w:sz w:val="18"/>
          <w:szCs w:val="18"/>
        </w:rPr>
        <w:lastRenderedPageBreak/>
        <w:t> </w:t>
      </w: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</w:p>
    <w:p w:rsidR="00D26203" w:rsidRPr="000719BC" w:rsidRDefault="00D26203" w:rsidP="00D26203">
      <w:pPr>
        <w:ind w:firstLine="709"/>
        <w:contextualSpacing/>
        <w:jc w:val="center"/>
        <w:rPr>
          <w:rFonts w:eastAsia="Calibri"/>
          <w:sz w:val="28"/>
          <w:szCs w:val="28"/>
        </w:rPr>
      </w:pPr>
      <w:r w:rsidRPr="000719BC">
        <w:rPr>
          <w:rFonts w:eastAsia="Calibri"/>
          <w:b/>
          <w:bCs/>
          <w:sz w:val="28"/>
          <w:szCs w:val="28"/>
        </w:rPr>
        <w:t>Меры поддержки субъектов предпринимательской деятельности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С учетом важности задач по скорейшему восстановлению экономики                          в условиях санкционного давления органами власти продолжается работа по упрощению условий для ведения бизнеса.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Так, постановлением Правительства Российской Федерации от 21.03.2023 № 440 расширен перечень объектов, для размещения которых не нужно оформлять права на земельные участки.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В дополненный перечень включены веранды для обустройства уличных кафе, а также площадки для размещения строительной техники и материалов при текущем или капитальном ремонте зданий.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Благодаря внесенным в федеральное законодательство изменениям владельцы ресторанов или кафе могут оборудовать площадку, примыкающую                      к основному зданию, без дополнительных процедур. Это станет возможным при условии, что земля под новыми посадочными местами находится                                                    в государственной или муниципальной собственности и ранее не была предоставлена под другие цели. Данная мера позволит поддержать предпринимателей, работающих в сфере общественного питания.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Кроме того, внесенные постановлением Правительства Российской Федерации от 18.03.2023 № 418 в Правила предоставления из федерального бюджета субсидий российским кредитным организациям, утвержденные постановлением Правительства Российской Федерации от 26.04.2019 № 512, изменения позволили субъектам виноградарства и виноделия, заключившим соглашения о повышении конкурентоспособности, претендовать на получение льготных кредитов на развитие бизнеса в соответствующей отрасли промышленности.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Ознакомиться с иными мерами государственной поддержки                                              и нормативными документами можно на официальном сайте Правительства Российской Федерации в сети «Интернет» (http//government.ru) и региональном портале «Мой бизнес» (https//мойбизнес.рф).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26203" w:rsidRPr="000719BC" w:rsidRDefault="00D26203" w:rsidP="00D26203">
      <w:pPr>
        <w:ind w:firstLine="709"/>
        <w:contextualSpacing/>
        <w:jc w:val="center"/>
        <w:rPr>
          <w:rFonts w:eastAsia="Calibri"/>
          <w:b/>
          <w:bCs/>
          <w:sz w:val="28"/>
          <w:szCs w:val="28"/>
        </w:rPr>
      </w:pPr>
      <w:r w:rsidRPr="000719BC">
        <w:rPr>
          <w:rFonts w:eastAsia="Calibri"/>
          <w:b/>
          <w:bCs/>
          <w:sz w:val="28"/>
          <w:szCs w:val="28"/>
        </w:rPr>
        <w:t>Ответственность за пропаганду и публичное демонстрирование нацистской атрибутики или символики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Согласно ст.6 Федерального закона от 19.05.1995 № 80-ФЗ                                          «Об увековечении Победы советского народа в Великой Отечественной войне 1941 - 1945 годов» важнейшим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фашизма.                В Российской Федерации запрещается использование нацистской атрибутики или символики либо атрибутики или символики, сходных с нацистской атрибутикой или символикой до степени смешения, как оскорбляющих многонациональный народ и память о понесенных в Великой Отечественной войне жертвах.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 xml:space="preserve">Запрещается пропаганда либо публичное демонстрирование атрибутики или символики организаций, сотрудничавших с группами, организациями, движениями или лицами, признанными преступными либо виновными                                 в совершении преступлений в соответствии с приговором Международного военного </w:t>
      </w:r>
      <w:r w:rsidRPr="000719BC">
        <w:rPr>
          <w:rFonts w:eastAsia="Calibri"/>
          <w:sz w:val="28"/>
          <w:szCs w:val="28"/>
        </w:rPr>
        <w:lastRenderedPageBreak/>
        <w:t>трибунала для суда и наказания главных военных преступников европейских стран оси (Нюрнбергского трибунала) либо приговорами национальных, военных или оккупационных трибуналов, основанными                                на приговоре Международного военного трибунала для суда и наказания главных военных преступников европейских стран оси (Нюрнбергского трибунала) либо вынесенными в период Великой Отечественной войны, Второй мировой войны.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Статьей 20.3 КоАП РФ предусмотрена административная ответственность за пропаганду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изготовление или сбыт в целях пропаганды либо приобретение в целях сбыта или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законами: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- на граждан до 2 тысяч пятисот рублей;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- на должностных лиц до 5 тысяч рублей;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- на юридических лиц до 100 тысяч рублей.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Положения указанной статьи не распространяются на случаи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                                             и экстремизма и отсутствуют признаки пропаганды или оправдания нацистской и экстремистской идеологии.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Наказание влечет конфискацию предмета административного правонарушения</w:t>
      </w:r>
      <w:r w:rsidRPr="000719BC">
        <w:rPr>
          <w:rFonts w:eastAsia="Calibri"/>
          <w:b/>
          <w:bCs/>
          <w:sz w:val="28"/>
          <w:szCs w:val="28"/>
        </w:rPr>
        <w:t>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26203" w:rsidRPr="000719BC" w:rsidRDefault="00D26203" w:rsidP="00D26203">
      <w:pPr>
        <w:ind w:firstLine="709"/>
        <w:contextualSpacing/>
        <w:jc w:val="center"/>
        <w:rPr>
          <w:rFonts w:eastAsia="Calibri"/>
          <w:sz w:val="28"/>
          <w:szCs w:val="28"/>
        </w:rPr>
      </w:pPr>
      <w:r w:rsidRPr="000719BC">
        <w:rPr>
          <w:rFonts w:eastAsia="Calibri"/>
          <w:b/>
          <w:bCs/>
          <w:sz w:val="28"/>
          <w:szCs w:val="28"/>
        </w:rPr>
        <w:t>Предусмотрена ли уголовная ответственность за незаконный оборот метилового спирта (метанола), метанолсодержащих жидкостей?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Федеральным законом от 28.04.2023 № 161-ФЗ внесены изменения                              в Уголовный кодекс Российской Федерации и ст. 151 Уголовно-процессуального кодекса Российской Федерации, согласно которым УК РФ дополнен ст. 234.2 «Незаконный оборот метилового спирта (метанола), метанолсодержащих жидкостей».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Деяние будет наказываться штрафом в размере от 100 тысяч до 500 тысяч рублей или в размере заработной платы или иного дохода осужденного</w:t>
      </w:r>
      <w:r w:rsidRPr="000719BC">
        <w:rPr>
          <w:rFonts w:ascii="Tahoma" w:eastAsia="Calibri" w:hAnsi="Tahoma" w:cs="Tahoma"/>
          <w:sz w:val="28"/>
          <w:szCs w:val="28"/>
        </w:rPr>
        <w:t xml:space="preserve"> </w:t>
      </w:r>
      <w:r w:rsidRPr="000719BC">
        <w:rPr>
          <w:rFonts w:eastAsia="Calibri"/>
          <w:sz w:val="28"/>
          <w:szCs w:val="28"/>
        </w:rPr>
        <w:t>за период от 1 года до 2 лет, либо обязательными работами на срок до 480 часов, либо принудительными работами на срок до 4 лет, либо лишением свободы                       на тот же срок.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Предусмотрена ответственность за те же деяния, если они: совершены группой лиц по предварительному сговору или организованной группой; повлекли по неосторожности причинение тяжкого вреда здоровью либо смерть человека, смерть двух или более лиц.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26203" w:rsidRPr="000719BC" w:rsidRDefault="00D26203" w:rsidP="00D26203">
      <w:pPr>
        <w:ind w:firstLine="709"/>
        <w:contextualSpacing/>
        <w:jc w:val="center"/>
        <w:rPr>
          <w:rFonts w:eastAsia="Calibri"/>
          <w:sz w:val="28"/>
          <w:szCs w:val="28"/>
        </w:rPr>
      </w:pPr>
      <w:r w:rsidRPr="000719BC">
        <w:rPr>
          <w:rFonts w:eastAsia="Calibri"/>
          <w:b/>
          <w:bCs/>
          <w:sz w:val="28"/>
          <w:szCs w:val="28"/>
        </w:rPr>
        <w:t>Предусмотрены ли льготы по уплате государственной пошлины малоимущим?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В соответствии с подпунктом 15 пункта 1 статьи 333.35 Налогового кодекса Российской Федерации физические лица, признаваемые малоимущими в соответствии с Жилищным кодексом Российской Федерации, освобождаются от уплаты государственной пошлины за совершение действий, предусмотренных подпунктом 22 пункта 1статьи 333.33 настоящего Кодекса, за исключением государственной регистрации ограничений прав и обременений объектов недвижимости.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Так, при предоставлении документа, подтверждающего признание малоимущим, граждане освобождаются от уплаты государственной пошлины                 (2 000 рублей) за государственную регистрацию прав, сделок с объектом недвижимости, если такие сделки подлежат государственной регистрации                          в соответствии с федеральным законом, за исключением юридически значимых действий, предусмотренных подпунктами 21, 22.1, 23-26, 26.1, 27.2, 28-31, 61                         и 80.1 пунктом 1 статьи 333.33 Налогового кодекса Российской Федерации.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26203" w:rsidRPr="000719BC" w:rsidRDefault="00D26203" w:rsidP="00D26203">
      <w:pPr>
        <w:ind w:firstLine="709"/>
        <w:contextualSpacing/>
        <w:jc w:val="center"/>
        <w:rPr>
          <w:rFonts w:eastAsia="Calibri"/>
          <w:sz w:val="28"/>
          <w:szCs w:val="28"/>
        </w:rPr>
      </w:pPr>
      <w:r w:rsidRPr="000719BC">
        <w:rPr>
          <w:rFonts w:eastAsia="Calibri"/>
          <w:b/>
          <w:bCs/>
          <w:sz w:val="28"/>
          <w:szCs w:val="28"/>
        </w:rPr>
        <w:t>Гарантии трудовых прав инвалидам.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Труд инвалидов регулируется Трудовым кодексом Российской Федерации и Федеральным законом от 14.11.1995 № 181-ФЗ «О социальной защите инвалидов в Российской Федерации», которым предусмотрено обязательное создание квот для приёма на работу инвалидов (в зависимости                                            от среднесписочной численности персонала у каждого работодателя), устанавливаемая каждым субъектом Российской Федерации самостоятельно.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От соблюдения установленной квоты освобождаются работодатели - общественные объединения инвалидов или образованные самими инвалидами организации.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Локальные акты работодателя, коллективные договоры, трудовые договоры не могут содержать положения, ухудшающие положение инвалидов или содержать дискриминационные условия.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Работодатель при трудоустройстве инвалида обязан соблюсти следующие гарантии: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1) создание необходимых условий для труда в соответствии                                            с индивидуальной программой реабилитации или абилитации инвалида                             (ст. 216.1 Трудового кодекса Российской Федерации), при чем индивидуальная программа реабилитации инвалида является обязательной для исполнения работодателем;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2) установление сокращенной продолжительности рабочего дня (смены)                        в соответствии с индивидуальной программой реабилитации (ч. 1 ст. 94 Трудового кодекса Российской Федерации);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3) установление сокращенной продолжительности рабочей недели;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Продолжительность рабочей недели для инвалидов 1 и 2 группы не может быть более 35 часов в неделю (ч. 1 ст. 92 Трудового кодекса Российской Федерации). Для инвалидов 3 группы продолжительность рабочей недели определяется согласно индивидуальной программы реабилитации.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lastRenderedPageBreak/>
        <w:t>4) предоставление ежегодного удлиненного оплачиваемого отпуска продолжительностью 30 календарных дней, исходя из 6-дневной рабочей недели (ч. 5 ст. 23 Федерального закона от 24.11.1995 № 181-ФЗ «О социальной защите инвалидов в Российской Федерации»);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5) оплата труда за сокращенное рабочее время как за нормальную продолжительность рабочего времени;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6) соблюдение порядка привлечения к сверхурочной работе, работе                           в ночное время, выходные и нерабочие праздничные дни (ч. 5 ст. 96, ч. 5 ст. 99, ч. 7 ст. 113, ч. 2 ст. 167 Трудового кодекса Российской Федерации);</w:t>
      </w:r>
    </w:p>
    <w:p w:rsidR="00D26203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719BC">
        <w:rPr>
          <w:rFonts w:eastAsia="Calibri"/>
          <w:sz w:val="28"/>
          <w:szCs w:val="28"/>
        </w:rPr>
        <w:t>7) предоставление отпуска без сохранения заработной платы продолжительностью до 60 календарных дней в году.</w:t>
      </w:r>
    </w:p>
    <w:p w:rsidR="00D26203" w:rsidRPr="000719BC" w:rsidRDefault="00D26203" w:rsidP="00D26203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D26203" w:rsidRPr="000719BC" w:rsidRDefault="00D26203" w:rsidP="00D26203">
      <w:pPr>
        <w:ind w:firstLine="720"/>
        <w:jc w:val="both"/>
        <w:rPr>
          <w:b/>
          <w:sz w:val="28"/>
          <w:szCs w:val="24"/>
        </w:rPr>
      </w:pPr>
      <w:r w:rsidRPr="000719BC">
        <w:rPr>
          <w:b/>
          <w:sz w:val="28"/>
          <w:szCs w:val="24"/>
        </w:rPr>
        <w:t xml:space="preserve">После опубликования информаций, прошу направить копии бюллетеней на электронную почту прокуратуры </w:t>
      </w:r>
      <w:hyperlink r:id="rId9" w:history="1">
        <w:r w:rsidRPr="000719BC">
          <w:rPr>
            <w:rStyle w:val="a4"/>
            <w:b/>
            <w:sz w:val="28"/>
            <w:szCs w:val="24"/>
          </w:rPr>
          <w:t>mok@58.mailop.ru</w:t>
        </w:r>
      </w:hyperlink>
      <w:r w:rsidRPr="000719BC">
        <w:rPr>
          <w:b/>
          <w:sz w:val="28"/>
          <w:szCs w:val="24"/>
        </w:rPr>
        <w:t xml:space="preserve">.  </w:t>
      </w:r>
    </w:p>
    <w:p w:rsidR="00D26203" w:rsidRPr="004E2EE9" w:rsidRDefault="00D26203" w:rsidP="00D26203">
      <w:pPr>
        <w:ind w:firstLine="720"/>
        <w:jc w:val="both"/>
        <w:rPr>
          <w:rFonts w:eastAsia="Calibri"/>
          <w:sz w:val="28"/>
          <w:szCs w:val="28"/>
        </w:rPr>
      </w:pPr>
    </w:p>
    <w:p w:rsidR="00D26203" w:rsidRPr="004E2EE9" w:rsidRDefault="00D26203" w:rsidP="00D26203">
      <w:pPr>
        <w:spacing w:line="240" w:lineRule="exact"/>
        <w:ind w:firstLine="709"/>
        <w:rPr>
          <w:rFonts w:eastAsia="Calibri"/>
          <w:sz w:val="28"/>
        </w:rPr>
      </w:pPr>
    </w:p>
    <w:p w:rsidR="00D26203" w:rsidRPr="004E2EE9" w:rsidRDefault="00D26203" w:rsidP="00D26203">
      <w:pPr>
        <w:spacing w:line="240" w:lineRule="exact"/>
        <w:ind w:firstLine="709"/>
        <w:rPr>
          <w:rFonts w:eastAsia="Calibri"/>
          <w:sz w:val="28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D26203" w:rsidRPr="004E2EE9" w:rsidTr="004D3143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D26203" w:rsidRPr="004E2EE9" w:rsidRDefault="00D26203" w:rsidP="004D3143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t>Прокурор района</w:t>
            </w:r>
          </w:p>
          <w:p w:rsidR="00D26203" w:rsidRPr="004E2EE9" w:rsidRDefault="00D26203" w:rsidP="004D3143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D26203" w:rsidRPr="004E2EE9" w:rsidRDefault="00D26203" w:rsidP="004D3143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t>советник юстиции</w:t>
            </w:r>
          </w:p>
        </w:tc>
        <w:bookmarkStart w:id="0" w:name="SIGNERNAME1"/>
        <w:tc>
          <w:tcPr>
            <w:tcW w:w="5153" w:type="dxa"/>
            <w:vAlign w:val="bottom"/>
          </w:tcPr>
          <w:p w:rsidR="00D26203" w:rsidRPr="004E2EE9" w:rsidRDefault="00D26203" w:rsidP="004D3143">
            <w:pPr>
              <w:spacing w:line="240" w:lineRule="exact"/>
              <w:ind w:right="-111" w:firstLine="709"/>
              <w:jc w:val="righ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fldChar w:fldCharType="begin"/>
            </w:r>
            <w:r w:rsidRPr="004E2EE9">
              <w:rPr>
                <w:rFonts w:eastAsia="Calibri"/>
                <w:sz w:val="28"/>
                <w:szCs w:val="28"/>
              </w:rPr>
              <w:instrText xml:space="preserve"> </w:instrText>
            </w:r>
            <w:r w:rsidRPr="004E2EE9">
              <w:rPr>
                <w:rFonts w:eastAsia="Calibri"/>
                <w:sz w:val="28"/>
                <w:szCs w:val="28"/>
                <w:lang w:val="en-US"/>
              </w:rPr>
              <w:instrText xml:space="preserve">MACROBUTTON NoMacro </w:instrText>
            </w:r>
            <w:r w:rsidRPr="004E2EE9">
              <w:rPr>
                <w:rFonts w:eastAsia="Calibri"/>
                <w:sz w:val="28"/>
                <w:szCs w:val="28"/>
              </w:rPr>
              <w:instrText>ИОФ подписанта</w:instrText>
            </w:r>
            <w:r w:rsidRPr="004E2EE9">
              <w:rPr>
                <w:rFonts w:eastAsia="Calibri"/>
                <w:sz w:val="28"/>
                <w:szCs w:val="28"/>
              </w:rPr>
              <w:fldChar w:fldCharType="end"/>
            </w:r>
            <w:bookmarkEnd w:id="0"/>
          </w:p>
        </w:tc>
      </w:tr>
    </w:tbl>
    <w:p w:rsidR="00D26203" w:rsidRPr="004E2EE9" w:rsidRDefault="00D26203" w:rsidP="00D26203">
      <w:pPr>
        <w:spacing w:before="240"/>
        <w:ind w:left="3545" w:firstLine="709"/>
        <w:rPr>
          <w:rFonts w:eastAsia="Calibri"/>
          <w:color w:val="D9D9D9"/>
          <w:sz w:val="28"/>
          <w:szCs w:val="28"/>
        </w:rPr>
      </w:pPr>
      <w:bookmarkStart w:id="1" w:name="SIGNERSTAMP1"/>
      <w:r w:rsidRPr="004E2EE9">
        <w:rPr>
          <w:rFonts w:eastAsia="Calibri"/>
          <w:color w:val="D9D9D9"/>
          <w:sz w:val="28"/>
          <w:szCs w:val="28"/>
        </w:rPr>
        <w:t>штамп подписи 1</w:t>
      </w:r>
      <w:bookmarkEnd w:id="1"/>
    </w:p>
    <w:p w:rsidR="00D26203" w:rsidRPr="004E2EE9" w:rsidRDefault="00D26203" w:rsidP="00D26203">
      <w:pPr>
        <w:rPr>
          <w:rFonts w:eastAsia="Calibri"/>
          <w:color w:val="D9D9D9"/>
          <w:sz w:val="28"/>
          <w:szCs w:val="28"/>
        </w:rPr>
      </w:pPr>
    </w:p>
    <w:p w:rsidR="00D26203" w:rsidRDefault="00D26203" w:rsidP="00D26203">
      <w:r w:rsidRPr="004E2EE9">
        <w:rPr>
          <w:rFonts w:eastAsia="Calibri"/>
        </w:rPr>
        <w:t>А.А. Санкова, (84150) 2-21-68</w:t>
      </w:r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  <w:bookmarkStart w:id="2" w:name="_GoBack"/>
      <w:bookmarkEnd w:id="2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0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1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903" w:rsidRDefault="00BB7903" w:rsidP="004A32F9">
      <w:r>
        <w:separator/>
      </w:r>
    </w:p>
  </w:endnote>
  <w:endnote w:type="continuationSeparator" w:id="0">
    <w:p w:rsidR="00BB7903" w:rsidRDefault="00BB7903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903" w:rsidRDefault="00BB7903" w:rsidP="004A32F9">
      <w:r>
        <w:separator/>
      </w:r>
    </w:p>
  </w:footnote>
  <w:footnote w:type="continuationSeparator" w:id="0">
    <w:p w:rsidR="00BB7903" w:rsidRDefault="00BB7903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2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5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8"/>
  </w:num>
  <w:num w:numId="18">
    <w:abstractNumId w:val="5"/>
  </w:num>
  <w:num w:numId="19">
    <w:abstractNumId w:val="22"/>
  </w:num>
  <w:num w:numId="20">
    <w:abstractNumId w:val="27"/>
  </w:num>
  <w:num w:numId="21">
    <w:abstractNumId w:val="29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6"/>
  </w:num>
  <w:num w:numId="29">
    <w:abstractNumId w:val="30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12DA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E795D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23E894-6F85-4329-8BDE-38C474C2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2023-05-22T12:18:00Z</dcterms:created>
  <dcterms:modified xsi:type="dcterms:W3CDTF">2023-05-22T12:18:00Z</dcterms:modified>
</cp:coreProperties>
</file>