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211069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1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211069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 декабря 2024 г.</w:t>
            </w:r>
          </w:p>
        </w:tc>
        <w:tc>
          <w:tcPr>
            <w:tcW w:w="397" w:type="dxa"/>
            <w:vAlign w:val="bottom"/>
          </w:tcPr>
          <w:p w:rsidR="001E692E" w:rsidRDefault="000A42AB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211069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1072-пП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C65BA8">
              <w:rPr>
                <w:sz w:val="24"/>
              </w:rPr>
              <w:t> </w:t>
            </w:r>
            <w:r>
              <w:rPr>
                <w:sz w:val="24"/>
              </w:rPr>
              <w:t>Пенза</w:t>
            </w:r>
          </w:p>
        </w:tc>
      </w:tr>
    </w:tbl>
    <w:p w:rsidR="00BA5A70" w:rsidRPr="00D12D12" w:rsidRDefault="00BA5A70" w:rsidP="00BB07CD">
      <w:pPr>
        <w:spacing w:line="221" w:lineRule="auto"/>
        <w:jc w:val="both"/>
        <w:rPr>
          <w:sz w:val="28"/>
          <w:szCs w:val="28"/>
        </w:rPr>
      </w:pPr>
    </w:p>
    <w:p w:rsidR="00E977C5" w:rsidRPr="00D12D12" w:rsidRDefault="00E977C5" w:rsidP="00BB07CD">
      <w:pPr>
        <w:spacing w:line="221" w:lineRule="auto"/>
        <w:jc w:val="center"/>
        <w:rPr>
          <w:b/>
          <w:kern w:val="3"/>
          <w:sz w:val="28"/>
          <w:szCs w:val="28"/>
          <w:lang w:eastAsia="zh-CN"/>
        </w:rPr>
      </w:pPr>
      <w:r w:rsidRPr="00D12D12">
        <w:rPr>
          <w:b/>
          <w:kern w:val="3"/>
          <w:sz w:val="28"/>
          <w:szCs w:val="28"/>
          <w:lang w:eastAsia="zh-CN"/>
        </w:rPr>
        <w:t xml:space="preserve">Об установлении размера предельной стоимости услуг и (или) работ </w:t>
      </w:r>
    </w:p>
    <w:p w:rsidR="00E977C5" w:rsidRPr="00D12D12" w:rsidRDefault="00E977C5" w:rsidP="00BB07CD">
      <w:pPr>
        <w:spacing w:line="221" w:lineRule="auto"/>
        <w:jc w:val="center"/>
        <w:rPr>
          <w:b/>
          <w:kern w:val="3"/>
          <w:sz w:val="28"/>
          <w:szCs w:val="28"/>
          <w:lang w:eastAsia="zh-CN"/>
        </w:rPr>
      </w:pPr>
      <w:r w:rsidRPr="00D12D12">
        <w:rPr>
          <w:b/>
          <w:kern w:val="3"/>
          <w:sz w:val="28"/>
          <w:szCs w:val="28"/>
          <w:lang w:eastAsia="zh-CN"/>
        </w:rPr>
        <w:t xml:space="preserve">по капитальному ремонту общего имущества в многоквартирном доме </w:t>
      </w:r>
      <w:r w:rsidR="00D12D12">
        <w:rPr>
          <w:b/>
          <w:kern w:val="3"/>
          <w:sz w:val="28"/>
          <w:szCs w:val="28"/>
          <w:lang w:eastAsia="zh-CN"/>
        </w:rPr>
        <w:br/>
      </w:r>
      <w:r w:rsidRPr="00D12D12">
        <w:rPr>
          <w:b/>
          <w:kern w:val="3"/>
          <w:sz w:val="28"/>
          <w:szCs w:val="28"/>
          <w:lang w:eastAsia="zh-CN"/>
        </w:rPr>
        <w:t xml:space="preserve">на территории Пензенской области на 2025 год, которая может оплачиваться региональным оператором за счет средств фонда капитального ремонта, сформированного исходя из минимального </w:t>
      </w:r>
      <w:r w:rsidR="00D12D12">
        <w:rPr>
          <w:b/>
          <w:kern w:val="3"/>
          <w:sz w:val="28"/>
          <w:szCs w:val="28"/>
          <w:lang w:eastAsia="zh-CN"/>
        </w:rPr>
        <w:br/>
      </w:r>
      <w:r w:rsidRPr="00D12D12">
        <w:rPr>
          <w:b/>
          <w:kern w:val="3"/>
          <w:sz w:val="28"/>
          <w:szCs w:val="28"/>
          <w:lang w:eastAsia="zh-CN"/>
        </w:rPr>
        <w:t>размера взноса на капитальный ремонт</w:t>
      </w:r>
    </w:p>
    <w:p w:rsidR="00E977C5" w:rsidRPr="00D12D12" w:rsidRDefault="00E977C5" w:rsidP="00BB07CD">
      <w:pPr>
        <w:spacing w:line="221" w:lineRule="auto"/>
        <w:ind w:firstLine="567"/>
        <w:jc w:val="center"/>
        <w:rPr>
          <w:b/>
          <w:kern w:val="3"/>
          <w:sz w:val="28"/>
          <w:szCs w:val="28"/>
          <w:lang w:eastAsia="zh-CN"/>
        </w:rPr>
      </w:pPr>
    </w:p>
    <w:p w:rsidR="00E977C5" w:rsidRPr="00D12D12" w:rsidRDefault="00E977C5" w:rsidP="00BB07CD">
      <w:pPr>
        <w:spacing w:line="221" w:lineRule="auto"/>
        <w:ind w:firstLine="567"/>
        <w:jc w:val="center"/>
        <w:rPr>
          <w:b/>
          <w:bCs/>
          <w:sz w:val="28"/>
          <w:szCs w:val="28"/>
        </w:rPr>
      </w:pPr>
    </w:p>
    <w:p w:rsidR="00E977C5" w:rsidRPr="00D12D12" w:rsidRDefault="00E977C5" w:rsidP="00BB07CD">
      <w:pPr>
        <w:widowControl/>
        <w:spacing w:line="221" w:lineRule="auto"/>
        <w:ind w:firstLine="709"/>
        <w:jc w:val="both"/>
        <w:rPr>
          <w:sz w:val="28"/>
          <w:szCs w:val="28"/>
        </w:rPr>
      </w:pPr>
      <w:r w:rsidRPr="00D12D12">
        <w:rPr>
          <w:sz w:val="28"/>
          <w:szCs w:val="28"/>
        </w:rPr>
        <w:t xml:space="preserve">В соответствии с частью 4 статьи 190 Жилищного </w:t>
      </w:r>
      <w:r w:rsidR="00BB07CD" w:rsidRPr="00D12D12">
        <w:rPr>
          <w:sz w:val="28"/>
          <w:szCs w:val="28"/>
        </w:rPr>
        <w:t>к</w:t>
      </w:r>
      <w:r w:rsidRPr="00D12D12">
        <w:rPr>
          <w:sz w:val="28"/>
          <w:szCs w:val="28"/>
        </w:rPr>
        <w:t xml:space="preserve">одекса Российской Федерации, статьей 3 Закона Пензенской области от 24.04.2024 </w:t>
      </w:r>
      <w:r w:rsidR="000A42AB">
        <w:rPr>
          <w:sz w:val="28"/>
          <w:szCs w:val="28"/>
        </w:rPr>
        <w:t>№ </w:t>
      </w:r>
      <w:r w:rsidRPr="00D12D12">
        <w:rPr>
          <w:sz w:val="28"/>
          <w:szCs w:val="28"/>
        </w:rPr>
        <w:t>4281</w:t>
      </w:r>
      <w:r w:rsidR="00BA62D6">
        <w:rPr>
          <w:sz w:val="28"/>
          <w:szCs w:val="28"/>
        </w:rPr>
        <w:t>-</w:t>
      </w:r>
      <w:r w:rsidRPr="00D12D12">
        <w:rPr>
          <w:sz w:val="28"/>
          <w:szCs w:val="28"/>
        </w:rPr>
        <w:t>ЗПО</w:t>
      </w:r>
      <w:r w:rsidR="00BA62D6">
        <w:rPr>
          <w:sz w:val="28"/>
          <w:szCs w:val="28"/>
        </w:rPr>
        <w:t xml:space="preserve"> "</w:t>
      </w:r>
      <w:r w:rsidRPr="00D12D12">
        <w:rPr>
          <w:sz w:val="28"/>
          <w:szCs w:val="28"/>
        </w:rPr>
        <w:t>Об организации проведения капитального ремонта общего имущества</w:t>
      </w:r>
      <w:r w:rsidR="00BA62D6">
        <w:rPr>
          <w:sz w:val="28"/>
          <w:szCs w:val="28"/>
        </w:rPr>
        <w:t xml:space="preserve"> </w:t>
      </w:r>
      <w:r w:rsidR="00BB07CD">
        <w:rPr>
          <w:sz w:val="28"/>
          <w:szCs w:val="28"/>
        </w:rPr>
        <w:br/>
      </w:r>
      <w:r w:rsidRPr="00D12D12">
        <w:rPr>
          <w:sz w:val="28"/>
          <w:szCs w:val="28"/>
        </w:rPr>
        <w:t>в многоквартирных домах, расположенных на территории Пензенской области</w:t>
      </w:r>
      <w:r w:rsidR="00BA62D6">
        <w:rPr>
          <w:sz w:val="28"/>
          <w:szCs w:val="28"/>
        </w:rPr>
        <w:t xml:space="preserve">" </w:t>
      </w:r>
      <w:r w:rsidRPr="00D12D12">
        <w:rPr>
          <w:sz w:val="28"/>
          <w:szCs w:val="28"/>
        </w:rPr>
        <w:t>(с последующими изменениями), руководствуясь Законом Пензенской</w:t>
      </w:r>
      <w:r w:rsidR="00BA62D6">
        <w:rPr>
          <w:sz w:val="28"/>
          <w:szCs w:val="28"/>
        </w:rPr>
        <w:t xml:space="preserve"> </w:t>
      </w:r>
      <w:r w:rsidRPr="00D12D12">
        <w:rPr>
          <w:sz w:val="28"/>
          <w:szCs w:val="28"/>
        </w:rPr>
        <w:t xml:space="preserve">области от 21.04.2023 </w:t>
      </w:r>
      <w:r w:rsidR="000A42AB">
        <w:rPr>
          <w:sz w:val="28"/>
          <w:szCs w:val="28"/>
        </w:rPr>
        <w:t>№ </w:t>
      </w:r>
      <w:r w:rsidRPr="00D12D12">
        <w:rPr>
          <w:sz w:val="28"/>
          <w:szCs w:val="28"/>
        </w:rPr>
        <w:t>4006</w:t>
      </w:r>
      <w:r w:rsidR="00BA62D6">
        <w:rPr>
          <w:sz w:val="28"/>
          <w:szCs w:val="28"/>
        </w:rPr>
        <w:t>-</w:t>
      </w:r>
      <w:r w:rsidRPr="00D12D12">
        <w:rPr>
          <w:sz w:val="28"/>
          <w:szCs w:val="28"/>
        </w:rPr>
        <w:t xml:space="preserve">ЗПО </w:t>
      </w:r>
      <w:r w:rsidR="00BA62D6">
        <w:rPr>
          <w:sz w:val="28"/>
          <w:szCs w:val="28"/>
        </w:rPr>
        <w:t>"</w:t>
      </w:r>
      <w:r w:rsidRPr="00D12D12">
        <w:rPr>
          <w:sz w:val="28"/>
          <w:szCs w:val="28"/>
        </w:rPr>
        <w:t>О Правительстве Пензенской области</w:t>
      </w:r>
      <w:r w:rsidR="00BA62D6">
        <w:rPr>
          <w:sz w:val="28"/>
          <w:szCs w:val="28"/>
        </w:rPr>
        <w:t xml:space="preserve">" </w:t>
      </w:r>
      <w:r w:rsidR="00BB07CD">
        <w:rPr>
          <w:sz w:val="28"/>
          <w:szCs w:val="28"/>
        </w:rPr>
        <w:br/>
      </w:r>
      <w:r w:rsidRPr="00D12D12">
        <w:rPr>
          <w:sz w:val="28"/>
          <w:szCs w:val="28"/>
        </w:rPr>
        <w:t>(с последующими изменениями), Правительство Пензенской области</w:t>
      </w:r>
      <w:r w:rsidR="00BA62D6">
        <w:rPr>
          <w:sz w:val="28"/>
          <w:szCs w:val="28"/>
        </w:rPr>
        <w:t xml:space="preserve"> </w:t>
      </w:r>
      <w:r w:rsidR="00BB07CD">
        <w:rPr>
          <w:sz w:val="28"/>
          <w:szCs w:val="28"/>
        </w:rPr>
        <w:br/>
      </w:r>
      <w:r w:rsidRPr="00D12D12">
        <w:rPr>
          <w:b/>
          <w:sz w:val="28"/>
          <w:szCs w:val="28"/>
        </w:rPr>
        <w:t>п о с т а н о в л я е т:</w:t>
      </w:r>
    </w:p>
    <w:p w:rsidR="00E977C5" w:rsidRPr="00D12D12" w:rsidRDefault="00E977C5" w:rsidP="00BB07CD">
      <w:pPr>
        <w:spacing w:line="221" w:lineRule="auto"/>
        <w:ind w:firstLine="709"/>
        <w:jc w:val="both"/>
        <w:rPr>
          <w:sz w:val="28"/>
          <w:szCs w:val="28"/>
        </w:rPr>
      </w:pPr>
      <w:r w:rsidRPr="00D12D12">
        <w:rPr>
          <w:sz w:val="28"/>
          <w:szCs w:val="28"/>
        </w:rPr>
        <w:t>1. Установить размер предельной стоимости услуг и (или) работ</w:t>
      </w:r>
      <w:r w:rsidR="00BA62D6">
        <w:rPr>
          <w:sz w:val="28"/>
          <w:szCs w:val="28"/>
        </w:rPr>
        <w:t xml:space="preserve"> </w:t>
      </w:r>
      <w:r w:rsidR="00BB07CD">
        <w:rPr>
          <w:sz w:val="28"/>
          <w:szCs w:val="28"/>
        </w:rPr>
        <w:br/>
      </w:r>
      <w:r w:rsidRPr="00D12D12">
        <w:rPr>
          <w:sz w:val="28"/>
          <w:szCs w:val="28"/>
        </w:rPr>
        <w:t>по капитальному ремонту общего имущества в многоквартирном доме</w:t>
      </w:r>
      <w:r w:rsidR="00BA62D6">
        <w:rPr>
          <w:sz w:val="28"/>
          <w:szCs w:val="28"/>
        </w:rPr>
        <w:t xml:space="preserve"> </w:t>
      </w:r>
      <w:r w:rsidR="00BB07CD">
        <w:rPr>
          <w:sz w:val="28"/>
          <w:szCs w:val="28"/>
        </w:rPr>
        <w:br/>
      </w:r>
      <w:r w:rsidRPr="00D12D12">
        <w:rPr>
          <w:sz w:val="28"/>
          <w:szCs w:val="28"/>
        </w:rPr>
        <w:t>на территории Пензенской области на 2025 год,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согласно приложению.</w:t>
      </w:r>
    </w:p>
    <w:p w:rsidR="00E977C5" w:rsidRPr="00D12D12" w:rsidRDefault="00E977C5" w:rsidP="00BB07CD">
      <w:pPr>
        <w:spacing w:line="221" w:lineRule="auto"/>
        <w:ind w:firstLine="709"/>
        <w:jc w:val="both"/>
        <w:rPr>
          <w:sz w:val="28"/>
          <w:szCs w:val="28"/>
        </w:rPr>
      </w:pPr>
      <w:r w:rsidRPr="00D12D12">
        <w:rPr>
          <w:sz w:val="28"/>
          <w:szCs w:val="28"/>
        </w:rPr>
        <w:t>2. Настоящее постановление вступает в силу с 1 января 2025 года.</w:t>
      </w:r>
    </w:p>
    <w:p w:rsidR="00E977C5" w:rsidRPr="00D12D12" w:rsidRDefault="00E977C5" w:rsidP="00BB07CD">
      <w:pPr>
        <w:spacing w:line="221" w:lineRule="auto"/>
        <w:ind w:firstLine="709"/>
        <w:jc w:val="both"/>
        <w:rPr>
          <w:sz w:val="28"/>
          <w:szCs w:val="28"/>
        </w:rPr>
      </w:pPr>
      <w:r w:rsidRPr="00D12D12">
        <w:rPr>
          <w:sz w:val="28"/>
          <w:szCs w:val="28"/>
        </w:rPr>
        <w:t>3.</w:t>
      </w:r>
      <w:r w:rsidR="00BB07CD">
        <w:rPr>
          <w:sz w:val="28"/>
          <w:szCs w:val="28"/>
        </w:rPr>
        <w:t xml:space="preserve"> </w:t>
      </w:r>
      <w:r w:rsidR="00BB07CD" w:rsidRPr="00BB07CD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="00BB07CD" w:rsidRPr="00BB07CD">
        <w:rPr>
          <w:color w:val="000000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="00BB07CD" w:rsidRPr="00BB07CD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BB07CD" w:rsidRPr="00BB07CD">
        <w:rPr>
          <w:color w:val="000000"/>
          <w:sz w:val="28"/>
          <w:szCs w:val="28"/>
        </w:rPr>
        <w:t xml:space="preserve"> </w:t>
      </w:r>
      <w:r w:rsidR="00BB07CD" w:rsidRPr="00BB07CD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E977C5" w:rsidRPr="00D12D12" w:rsidRDefault="00E977C5" w:rsidP="00BB07CD">
      <w:pPr>
        <w:spacing w:line="221" w:lineRule="auto"/>
        <w:ind w:firstLine="709"/>
        <w:jc w:val="both"/>
        <w:rPr>
          <w:sz w:val="28"/>
          <w:szCs w:val="28"/>
        </w:rPr>
      </w:pPr>
      <w:r w:rsidRPr="00D12D12">
        <w:rPr>
          <w:sz w:val="28"/>
          <w:szCs w:val="28"/>
        </w:rPr>
        <w:t>4. Контроль за исполнением настоящего постановления возложить</w:t>
      </w:r>
      <w:r w:rsidR="00BA62D6">
        <w:rPr>
          <w:sz w:val="28"/>
          <w:szCs w:val="28"/>
        </w:rPr>
        <w:t xml:space="preserve"> </w:t>
      </w:r>
      <w:r w:rsidR="00D6613E">
        <w:rPr>
          <w:sz w:val="28"/>
          <w:szCs w:val="28"/>
        </w:rPr>
        <w:br/>
      </w:r>
      <w:r w:rsidRPr="00D6613E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D12D12">
        <w:rPr>
          <w:sz w:val="28"/>
          <w:szCs w:val="28"/>
        </w:rPr>
        <w:t xml:space="preserve"> вопросы формирования и реализации государственной политики в области жилищно</w:t>
      </w:r>
      <w:r w:rsidR="00BA62D6">
        <w:rPr>
          <w:sz w:val="28"/>
          <w:szCs w:val="28"/>
        </w:rPr>
        <w:t>-</w:t>
      </w:r>
      <w:r w:rsidRPr="00D12D12">
        <w:rPr>
          <w:sz w:val="28"/>
          <w:szCs w:val="28"/>
        </w:rPr>
        <w:t>коммунального хозяйства.</w:t>
      </w:r>
    </w:p>
    <w:p w:rsidR="001C1663" w:rsidRDefault="001C1663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1C1663" w:rsidTr="0044435B">
        <w:tc>
          <w:tcPr>
            <w:tcW w:w="3936" w:type="dxa"/>
          </w:tcPr>
          <w:p w:rsidR="001C1663" w:rsidRDefault="0044435B" w:rsidP="00D81903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1C1663" w:rsidRDefault="001C1663" w:rsidP="00D81903">
            <w:pPr>
              <w:jc w:val="right"/>
              <w:rPr>
                <w:sz w:val="28"/>
              </w:rPr>
            </w:pPr>
          </w:p>
          <w:p w:rsidR="001C1663" w:rsidRDefault="00211069" w:rsidP="00211069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4435B" w:rsidRPr="0044435B">
              <w:rPr>
                <w:sz w:val="28"/>
              </w:rPr>
              <w:t>Н</w:t>
            </w:r>
            <w:r w:rsidR="0044435B">
              <w:rPr>
                <w:sz w:val="28"/>
              </w:rPr>
              <w:t>.</w:t>
            </w:r>
            <w:r w:rsidR="0044435B" w:rsidRPr="0044435B">
              <w:rPr>
                <w:sz w:val="28"/>
              </w:rPr>
              <w:t>П</w:t>
            </w:r>
            <w:r w:rsidR="0044435B">
              <w:rPr>
                <w:sz w:val="28"/>
              </w:rPr>
              <w:t xml:space="preserve">. </w:t>
            </w:r>
            <w:r w:rsidR="0044435B" w:rsidRPr="0044435B">
              <w:rPr>
                <w:sz w:val="28"/>
              </w:rPr>
              <w:t>Симонов</w:t>
            </w:r>
          </w:p>
        </w:tc>
      </w:tr>
    </w:tbl>
    <w:p w:rsidR="00426FF1" w:rsidRPr="00BB07CD" w:rsidRDefault="00426FF1">
      <w:pPr>
        <w:jc w:val="both"/>
        <w:rPr>
          <w:sz w:val="4"/>
          <w:szCs w:val="4"/>
        </w:rPr>
      </w:pPr>
    </w:p>
    <w:p w:rsidR="00167330" w:rsidRDefault="00167330">
      <w:pPr>
        <w:jc w:val="both"/>
        <w:rPr>
          <w:sz w:val="28"/>
        </w:rPr>
        <w:sectPr w:rsidR="00167330" w:rsidSect="00BB07CD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BB07CD" w:rsidRPr="00BB07CD" w:rsidRDefault="00BB07CD" w:rsidP="00BB07CD">
      <w:pPr>
        <w:widowControl/>
        <w:ind w:left="9498"/>
        <w:jc w:val="center"/>
        <w:rPr>
          <w:color w:val="000000"/>
          <w:sz w:val="24"/>
          <w:szCs w:val="24"/>
        </w:rPr>
      </w:pPr>
      <w:r w:rsidRPr="00BB07CD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br/>
      </w:r>
      <w:r w:rsidRPr="00BB07CD">
        <w:rPr>
          <w:color w:val="000000"/>
          <w:sz w:val="24"/>
          <w:szCs w:val="24"/>
        </w:rPr>
        <w:t>к постановлению</w:t>
      </w:r>
      <w:r>
        <w:rPr>
          <w:color w:val="000000"/>
          <w:sz w:val="24"/>
          <w:szCs w:val="24"/>
        </w:rPr>
        <w:t xml:space="preserve"> </w:t>
      </w:r>
      <w:r w:rsidRPr="00BB07CD">
        <w:rPr>
          <w:color w:val="000000"/>
          <w:sz w:val="24"/>
          <w:szCs w:val="24"/>
        </w:rPr>
        <w:t xml:space="preserve">Правительства </w:t>
      </w:r>
      <w:r>
        <w:rPr>
          <w:color w:val="000000"/>
          <w:sz w:val="24"/>
          <w:szCs w:val="24"/>
        </w:rPr>
        <w:br/>
      </w:r>
      <w:r w:rsidRPr="00BB07CD">
        <w:rPr>
          <w:color w:val="000000"/>
          <w:sz w:val="24"/>
          <w:szCs w:val="24"/>
        </w:rPr>
        <w:t>Пензенской области</w:t>
      </w:r>
    </w:p>
    <w:p w:rsidR="00BB07CD" w:rsidRPr="00BB07CD" w:rsidRDefault="00211069" w:rsidP="00211069">
      <w:pPr>
        <w:ind w:left="9498" w:firstLine="14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23.12.2024</w:t>
      </w:r>
      <w:r w:rsidR="00BB07CD">
        <w:rPr>
          <w:color w:val="000000"/>
          <w:sz w:val="24"/>
          <w:szCs w:val="24"/>
        </w:rPr>
        <w:t xml:space="preserve"> </w:t>
      </w:r>
      <w:r w:rsidR="000A42AB">
        <w:rPr>
          <w:color w:val="000000"/>
          <w:sz w:val="24"/>
          <w:szCs w:val="24"/>
        </w:rPr>
        <w:t>№ </w:t>
      </w:r>
      <w:r>
        <w:rPr>
          <w:color w:val="000000"/>
          <w:sz w:val="24"/>
          <w:szCs w:val="24"/>
        </w:rPr>
        <w:t>1072-пП</w:t>
      </w:r>
    </w:p>
    <w:p w:rsidR="00BB07CD" w:rsidRPr="00BB07CD" w:rsidRDefault="00BB07CD">
      <w:pPr>
        <w:rPr>
          <w:sz w:val="24"/>
          <w:szCs w:val="24"/>
        </w:rPr>
      </w:pPr>
    </w:p>
    <w:p w:rsidR="00BB07CD" w:rsidRPr="00BB07CD" w:rsidRDefault="00BB07CD" w:rsidP="00BB07CD">
      <w:pPr>
        <w:widowControl/>
        <w:jc w:val="center"/>
        <w:rPr>
          <w:b/>
          <w:bCs/>
          <w:color w:val="000000"/>
          <w:sz w:val="24"/>
          <w:szCs w:val="24"/>
        </w:rPr>
      </w:pPr>
      <w:r w:rsidRPr="00BB07CD">
        <w:rPr>
          <w:b/>
          <w:sz w:val="24"/>
          <w:szCs w:val="24"/>
        </w:rPr>
        <w:t>Р</w:t>
      </w:r>
      <w:r w:rsidRPr="00BB07CD">
        <w:rPr>
          <w:b/>
          <w:bCs/>
          <w:color w:val="000000"/>
          <w:sz w:val="24"/>
          <w:szCs w:val="24"/>
        </w:rPr>
        <w:t xml:space="preserve">АЗМЕР </w:t>
      </w:r>
    </w:p>
    <w:p w:rsidR="00BB07CD" w:rsidRPr="00BB07CD" w:rsidRDefault="00BB07CD" w:rsidP="00BB07CD">
      <w:pPr>
        <w:widowControl/>
        <w:jc w:val="center"/>
        <w:rPr>
          <w:b/>
          <w:bCs/>
          <w:color w:val="000000"/>
          <w:sz w:val="24"/>
          <w:szCs w:val="24"/>
        </w:rPr>
      </w:pPr>
      <w:r w:rsidRPr="00BB07CD">
        <w:rPr>
          <w:b/>
          <w:bCs/>
          <w:color w:val="000000"/>
          <w:sz w:val="24"/>
          <w:szCs w:val="24"/>
        </w:rPr>
        <w:t xml:space="preserve">предельной стоимости услуг и (или) работ по капитальному ремонту общего имущества </w:t>
      </w:r>
    </w:p>
    <w:p w:rsidR="00BB07CD" w:rsidRPr="00BB07CD" w:rsidRDefault="00BB07CD" w:rsidP="00BB07CD">
      <w:pPr>
        <w:widowControl/>
        <w:jc w:val="center"/>
        <w:rPr>
          <w:b/>
          <w:bCs/>
          <w:color w:val="000000"/>
          <w:sz w:val="24"/>
          <w:szCs w:val="24"/>
        </w:rPr>
      </w:pPr>
      <w:r w:rsidRPr="00BB07CD">
        <w:rPr>
          <w:b/>
          <w:bCs/>
          <w:color w:val="000000"/>
          <w:sz w:val="24"/>
          <w:szCs w:val="24"/>
        </w:rPr>
        <w:t xml:space="preserve">в многоквартирном доме на территории Пензенской области на 2025 год, </w:t>
      </w:r>
    </w:p>
    <w:p w:rsidR="00BB07CD" w:rsidRPr="00BB07CD" w:rsidRDefault="00BB07CD" w:rsidP="00BB07CD">
      <w:pPr>
        <w:widowControl/>
        <w:jc w:val="center"/>
        <w:rPr>
          <w:b/>
          <w:bCs/>
          <w:color w:val="000000"/>
          <w:sz w:val="24"/>
          <w:szCs w:val="24"/>
        </w:rPr>
      </w:pPr>
      <w:r w:rsidRPr="00BB07CD">
        <w:rPr>
          <w:b/>
          <w:bCs/>
          <w:color w:val="000000"/>
          <w:sz w:val="24"/>
          <w:szCs w:val="24"/>
        </w:rPr>
        <w:t xml:space="preserve">которая может оплачиваться региональным оператором за счет средств фонда капитального ремонта, </w:t>
      </w:r>
    </w:p>
    <w:p w:rsidR="00BB07CD" w:rsidRPr="00BB07CD" w:rsidRDefault="00BB07CD" w:rsidP="00BB07CD">
      <w:pPr>
        <w:widowControl/>
        <w:jc w:val="center"/>
        <w:rPr>
          <w:b/>
          <w:bCs/>
          <w:color w:val="000000"/>
          <w:sz w:val="24"/>
          <w:szCs w:val="24"/>
        </w:rPr>
      </w:pPr>
      <w:r w:rsidRPr="00BB07CD">
        <w:rPr>
          <w:b/>
          <w:bCs/>
          <w:color w:val="000000"/>
          <w:sz w:val="24"/>
          <w:szCs w:val="24"/>
        </w:rPr>
        <w:t>сформированного исходя из минимального размера взноса на капитальный ремонт</w:t>
      </w:r>
    </w:p>
    <w:p w:rsidR="00BB07CD" w:rsidRPr="00BB07CD" w:rsidRDefault="00BB07CD" w:rsidP="00BB07CD">
      <w:pPr>
        <w:widowControl/>
        <w:jc w:val="center"/>
        <w:rPr>
          <w:b/>
          <w:bCs/>
          <w:color w:val="000000"/>
          <w:sz w:val="24"/>
          <w:szCs w:val="24"/>
        </w:rPr>
      </w:pPr>
    </w:p>
    <w:p w:rsidR="00BB07CD" w:rsidRPr="00BB07CD" w:rsidRDefault="00BB07CD">
      <w:pPr>
        <w:rPr>
          <w:sz w:val="24"/>
          <w:szCs w:val="24"/>
        </w:rPr>
      </w:pPr>
    </w:p>
    <w:tbl>
      <w:tblPr>
        <w:tblW w:w="15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9"/>
        <w:gridCol w:w="2702"/>
        <w:gridCol w:w="2431"/>
        <w:gridCol w:w="2418"/>
        <w:gridCol w:w="2118"/>
        <w:gridCol w:w="1843"/>
        <w:gridCol w:w="1843"/>
        <w:gridCol w:w="1706"/>
      </w:tblGrid>
      <w:tr w:rsidR="00BB07CD" w:rsidRPr="001211B3" w:rsidTr="002D4873">
        <w:trPr>
          <w:cantSplit/>
          <w:tblHeader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07CD" w:rsidRPr="001211B3" w:rsidRDefault="000A42AB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№ </w:t>
            </w:r>
            <w:r w:rsidR="001211B3" w:rsidRPr="001211B3">
              <w:rPr>
                <w:bCs/>
                <w:color w:val="000000"/>
                <w:spacing w:val="-4"/>
                <w:sz w:val="24"/>
                <w:szCs w:val="24"/>
              </w:rPr>
              <w:br/>
            </w:r>
            <w:r w:rsidR="00BB07CD" w:rsidRPr="001211B3">
              <w:rPr>
                <w:bCs/>
                <w:color w:val="000000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Наименование услуг</w:t>
            </w:r>
          </w:p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 xml:space="preserve">и (или) работ </w:t>
            </w:r>
            <w:r w:rsidR="00B1687E" w:rsidRPr="001211B3">
              <w:rPr>
                <w:bCs/>
                <w:color w:val="000000"/>
                <w:spacing w:val="-4"/>
                <w:sz w:val="24"/>
                <w:szCs w:val="24"/>
              </w:rPr>
              <w:br/>
            </w: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по капитальному ремонту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spacing w:val="-4"/>
                <w:sz w:val="24"/>
                <w:szCs w:val="24"/>
              </w:rPr>
            </w:pPr>
            <w:r w:rsidRPr="001211B3">
              <w:rPr>
                <w:bCs/>
                <w:spacing w:val="-4"/>
                <w:sz w:val="24"/>
                <w:szCs w:val="24"/>
              </w:rPr>
              <w:t>Единица измерения</w:t>
            </w: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spacing w:val="-4"/>
                <w:sz w:val="24"/>
                <w:szCs w:val="24"/>
              </w:rPr>
            </w:pPr>
            <w:r w:rsidRPr="001211B3">
              <w:rPr>
                <w:bCs/>
                <w:spacing w:val="-4"/>
                <w:sz w:val="24"/>
                <w:szCs w:val="24"/>
              </w:rPr>
              <w:t>Размер предельной стоимости в многоквартирных домах типа:</w:t>
            </w:r>
          </w:p>
        </w:tc>
      </w:tr>
      <w:tr w:rsidR="00BB07CD" w:rsidRPr="001211B3" w:rsidTr="002D4873">
        <w:trPr>
          <w:cantSplit/>
          <w:tblHeader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spacing w:val="-4"/>
                <w:sz w:val="24"/>
                <w:szCs w:val="24"/>
              </w:rPr>
            </w:pPr>
            <w:r w:rsidRPr="001211B3">
              <w:rPr>
                <w:bCs/>
                <w:spacing w:val="-4"/>
                <w:sz w:val="24"/>
                <w:szCs w:val="24"/>
              </w:rPr>
              <w:t>"дореволюционной постройки",</w:t>
            </w:r>
          </w:p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spacing w:val="-4"/>
                <w:sz w:val="24"/>
                <w:szCs w:val="24"/>
              </w:rPr>
            </w:pPr>
            <w:r w:rsidRPr="001211B3">
              <w:rPr>
                <w:bCs/>
                <w:spacing w:val="-4"/>
                <w:sz w:val="24"/>
                <w:szCs w:val="24"/>
              </w:rPr>
              <w:t>включая многоквартирные дома, являющиеся объектами культурного наследия, выявленными объектами культурного наследия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"конструктивизм" и "сталинские"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7CD" w:rsidRPr="001211B3" w:rsidRDefault="00BB07CD" w:rsidP="00760E5C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 xml:space="preserve">"хрущевки" кирпичные </w:t>
            </w:r>
            <w:r w:rsidR="002D4873">
              <w:rPr>
                <w:bCs/>
                <w:color w:val="000000"/>
                <w:spacing w:val="-4"/>
                <w:sz w:val="24"/>
                <w:szCs w:val="24"/>
              </w:rPr>
              <w:br/>
            </w: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и панельные</w:t>
            </w:r>
            <w:r w:rsidR="00760E5C">
              <w:rPr>
                <w:bCs/>
                <w:color w:val="000000"/>
                <w:spacing w:val="-4"/>
                <w:sz w:val="24"/>
                <w:szCs w:val="24"/>
              </w:rPr>
              <w:t>"</w:t>
            </w: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 xml:space="preserve">; </w:t>
            </w:r>
            <w:r w:rsidRPr="001211B3">
              <w:rPr>
                <w:spacing w:val="-4"/>
                <w:sz w:val="24"/>
                <w:szCs w:val="24"/>
              </w:rPr>
              <w:t xml:space="preserve">"кирпичные </w:t>
            </w:r>
            <w:r w:rsidR="002D4873">
              <w:rPr>
                <w:spacing w:val="-4"/>
                <w:sz w:val="24"/>
                <w:szCs w:val="24"/>
              </w:rPr>
              <w:br/>
            </w:r>
            <w:r w:rsidRPr="001211B3">
              <w:rPr>
                <w:spacing w:val="-4"/>
                <w:sz w:val="24"/>
                <w:szCs w:val="24"/>
              </w:rPr>
              <w:t xml:space="preserve">и панельные постройки </w:t>
            </w:r>
            <w:r w:rsidR="001211B3" w:rsidRPr="001211B3">
              <w:rPr>
                <w:spacing w:val="-4"/>
                <w:sz w:val="24"/>
                <w:szCs w:val="24"/>
              </w:rPr>
              <w:br/>
            </w:r>
            <w:r w:rsidRPr="001211B3">
              <w:rPr>
                <w:spacing w:val="-4"/>
                <w:sz w:val="24"/>
                <w:szCs w:val="24"/>
              </w:rPr>
              <w:t>1970-1980 гг."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кирпичные</w:t>
            </w:r>
          </w:p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и панельные "новое строительство</w:t>
            </w:r>
          </w:p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до 10 этажей"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кирпичные</w:t>
            </w:r>
          </w:p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и панельные "новое строительство 11 этажей</w:t>
            </w:r>
          </w:p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и выше"</w:t>
            </w:r>
          </w:p>
        </w:tc>
      </w:tr>
      <w:tr w:rsidR="00BB07CD" w:rsidRPr="001211B3" w:rsidTr="002D4873">
        <w:trPr>
          <w:cantSplit/>
          <w:tblHeader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spacing w:val="-4"/>
                <w:sz w:val="24"/>
                <w:szCs w:val="24"/>
              </w:rPr>
            </w:pPr>
            <w:r w:rsidRPr="001211B3">
              <w:rPr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spacing w:val="-4"/>
                <w:sz w:val="24"/>
                <w:szCs w:val="24"/>
              </w:rPr>
            </w:pPr>
            <w:r w:rsidRPr="001211B3">
              <w:rPr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8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Ремонт внутридомовых инженерных систем: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1.1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электроснабжения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руб./кв.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уборочной площади мест общего пользования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4 759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7 566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7 648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9 636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теплоснабжения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руб./пог.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6 172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4 126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5 409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1211B3">
            <w:pPr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3 605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водоснабжения:</w:t>
            </w:r>
          </w:p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1.3.1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руб./пог.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заменяемого тру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cr/>
              <w:t>опровода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5 180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3 591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3 382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2 964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3 220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1.3.2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горячего водоснабжения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руб./пог.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5 646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3 322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2 503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1.4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водоотведения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руб./пог.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6 140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4 447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4 389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3 814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4 464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1.5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газоснабжения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руб./пог.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7 030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6 077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3 738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3 792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autoSpaceDE w:val="0"/>
              <w:autoSpaceDN w:val="0"/>
              <w:adjustRightInd w:val="0"/>
              <w:spacing w:line="247" w:lineRule="auto"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spacing w:val="-4"/>
                <w:sz w:val="24"/>
                <w:szCs w:val="24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руб./лифт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5 289 512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47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spacing w:val="-4"/>
                <w:sz w:val="24"/>
                <w:szCs w:val="24"/>
              </w:rPr>
              <w:t>5 973 664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Ремонт крыши следующего типа</w:t>
            </w:r>
            <w:r w:rsidR="000A42AB">
              <w:rPr>
                <w:bCs/>
                <w:color w:val="000000"/>
                <w:spacing w:val="-4"/>
                <w:sz w:val="24"/>
                <w:szCs w:val="24"/>
              </w:rPr>
              <w:t>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3.1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скатные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руб./кв.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общей площади покрытия кровли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10 753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8 543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8 902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3.2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плоские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руб./кв.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общей площади покрытия кровли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6 820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6 320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6 163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760E5C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.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/кв.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площади подвала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5 292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3 341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2 819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Ремонт фасада,</w:t>
            </w:r>
          </w:p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в зависимости</w:t>
            </w:r>
          </w:p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от выполняемых работ: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ремонт фасада, требующего утепления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руб./кв.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площади фасада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11 870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8 877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8 766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8 482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9 051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5.2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ремонт фасада,</w:t>
            </w:r>
          </w:p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не требующего утепления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руб./кв.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площади фасада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9 416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6 047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spacing w:val="-4"/>
                <w:sz w:val="24"/>
                <w:szCs w:val="24"/>
              </w:rPr>
            </w:pPr>
            <w:r w:rsidRPr="001211B3">
              <w:rPr>
                <w:spacing w:val="-4"/>
                <w:sz w:val="24"/>
                <w:szCs w:val="24"/>
              </w:rPr>
              <w:t>5 816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5 546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5 759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bCs/>
                <w:color w:val="000000"/>
                <w:spacing w:val="-4"/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руб./куб.</w:t>
            </w:r>
            <w:r w:rsidR="002D4873">
              <w:rPr>
                <w:color w:val="000000"/>
                <w:spacing w:val="-4"/>
                <w:sz w:val="24"/>
                <w:szCs w:val="24"/>
              </w:rPr>
              <w:t> </w:t>
            </w:r>
            <w:r w:rsidRPr="001211B3">
              <w:rPr>
                <w:color w:val="000000"/>
                <w:spacing w:val="-4"/>
                <w:sz w:val="24"/>
                <w:szCs w:val="24"/>
              </w:rPr>
              <w:t>м фундамента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bCs/>
                <w:spacing w:val="-4"/>
                <w:sz w:val="24"/>
                <w:szCs w:val="24"/>
              </w:rPr>
            </w:pPr>
            <w:r w:rsidRPr="001211B3">
              <w:rPr>
                <w:bCs/>
                <w:spacing w:val="-4"/>
                <w:sz w:val="24"/>
                <w:szCs w:val="24"/>
              </w:rPr>
              <w:t>85 363</w:t>
            </w:r>
          </w:p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89 108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78 736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80 771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21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76 318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autoSpaceDE w:val="0"/>
              <w:autoSpaceDN w:val="0"/>
              <w:adjustRightInd w:val="0"/>
              <w:spacing w:line="209" w:lineRule="auto"/>
              <w:ind w:left="-28" w:right="-28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spacing w:val="-4"/>
                <w:sz w:val="24"/>
                <w:szCs w:val="24"/>
              </w:rPr>
              <w:t xml:space="preserve">Установка узлов управления </w:t>
            </w:r>
            <w:r w:rsidR="002D4873">
              <w:rPr>
                <w:spacing w:val="-4"/>
                <w:sz w:val="24"/>
                <w:szCs w:val="24"/>
              </w:rPr>
              <w:br/>
            </w:r>
            <w:r w:rsidRPr="001211B3">
              <w:rPr>
                <w:spacing w:val="-4"/>
                <w:sz w:val="24"/>
                <w:szCs w:val="24"/>
              </w:rPr>
              <w:t>и регулирования потребления: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7.1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тепловой энергии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руб./шт.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507 911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507 911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507 911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507 911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507 911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7.2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холодной воды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руб./шт.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7.3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spacing w:val="-4"/>
                <w:sz w:val="24"/>
                <w:szCs w:val="24"/>
              </w:rPr>
            </w:pPr>
            <w:r w:rsidRPr="001211B3">
              <w:rPr>
                <w:spacing w:val="-4"/>
                <w:sz w:val="24"/>
                <w:szCs w:val="24"/>
              </w:rPr>
              <w:t>горячей воды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руб./шт.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125 357</w:t>
            </w:r>
          </w:p>
        </w:tc>
      </w:tr>
      <w:tr w:rsidR="00BB07CD" w:rsidRPr="001211B3" w:rsidTr="002D4873">
        <w:trPr>
          <w:cantSplit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7.4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газа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7CD" w:rsidRPr="001211B3" w:rsidRDefault="00BB07CD" w:rsidP="002D4873">
            <w:pPr>
              <w:widowControl/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руб./шт.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121 990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121 990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121 990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121 990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07CD" w:rsidRPr="001211B3" w:rsidRDefault="00BB07CD" w:rsidP="002D4873">
            <w:pPr>
              <w:spacing w:line="209" w:lineRule="auto"/>
              <w:ind w:left="-28" w:right="-28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211B3">
              <w:rPr>
                <w:color w:val="000000"/>
                <w:spacing w:val="-4"/>
                <w:sz w:val="24"/>
                <w:szCs w:val="24"/>
              </w:rPr>
              <w:t>121 990</w:t>
            </w:r>
          </w:p>
        </w:tc>
      </w:tr>
    </w:tbl>
    <w:p w:rsidR="00BB07CD" w:rsidRPr="002D4873" w:rsidRDefault="00BB07CD" w:rsidP="002D4873">
      <w:pPr>
        <w:spacing w:line="209" w:lineRule="auto"/>
        <w:rPr>
          <w:sz w:val="10"/>
          <w:szCs w:val="10"/>
        </w:rPr>
      </w:pPr>
    </w:p>
    <w:p w:rsidR="00BB07CD" w:rsidRPr="00BB07CD" w:rsidRDefault="00BB07CD" w:rsidP="002D4873">
      <w:pPr>
        <w:spacing w:line="209" w:lineRule="auto"/>
        <w:ind w:right="-598" w:firstLine="709"/>
        <w:jc w:val="both"/>
        <w:rPr>
          <w:sz w:val="24"/>
          <w:szCs w:val="24"/>
        </w:rPr>
      </w:pPr>
      <w:r w:rsidRPr="00BB07CD">
        <w:rPr>
          <w:sz w:val="24"/>
          <w:szCs w:val="24"/>
        </w:rPr>
        <w:t>Примечание. В размере предельной стоимости услуг и (или) работ по капитальному ремонту общего имущества в многоквартирном доме на территории Пензенской области на 2025 год,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</w:t>
      </w:r>
      <w:r w:rsidR="002B2652">
        <w:rPr>
          <w:sz w:val="24"/>
          <w:szCs w:val="24"/>
        </w:rPr>
        <w:t>,</w:t>
      </w:r>
      <w:r w:rsidRPr="00BB07CD">
        <w:rPr>
          <w:sz w:val="24"/>
          <w:szCs w:val="24"/>
        </w:rPr>
        <w:t xml:space="preserve"> учтена стоимость работ (услуг) на:</w:t>
      </w:r>
    </w:p>
    <w:p w:rsidR="00BB07CD" w:rsidRPr="00BB07CD" w:rsidRDefault="00BB07CD" w:rsidP="002D4873">
      <w:pPr>
        <w:spacing w:line="209" w:lineRule="auto"/>
        <w:ind w:right="-598" w:firstLine="709"/>
        <w:jc w:val="both"/>
        <w:rPr>
          <w:sz w:val="24"/>
          <w:szCs w:val="24"/>
        </w:rPr>
      </w:pPr>
      <w:r w:rsidRPr="00BB07CD">
        <w:rPr>
          <w:sz w:val="24"/>
          <w:szCs w:val="24"/>
        </w:rPr>
        <w:t>- разработку проектной документации (5 % согласно п.19 таблиц</w:t>
      </w:r>
      <w:r w:rsidR="002B2652">
        <w:rPr>
          <w:sz w:val="24"/>
          <w:szCs w:val="24"/>
        </w:rPr>
        <w:t>ы</w:t>
      </w:r>
      <w:r w:rsidRPr="00BB07CD">
        <w:rPr>
          <w:sz w:val="24"/>
          <w:szCs w:val="24"/>
        </w:rPr>
        <w:t xml:space="preserve"> </w:t>
      </w:r>
      <w:r w:rsidR="000A42AB">
        <w:rPr>
          <w:sz w:val="24"/>
          <w:szCs w:val="24"/>
        </w:rPr>
        <w:t>№ </w:t>
      </w:r>
      <w:r w:rsidRPr="00BB07CD">
        <w:rPr>
          <w:sz w:val="24"/>
          <w:szCs w:val="24"/>
        </w:rPr>
        <w:t xml:space="preserve">12 Справочника базовых цен на проектные работы в строительстве "Нормативы подготовки технической документации для капитального ремонта зданий и сооружений жилищно-гражданского назначения", утвержденного </w:t>
      </w:r>
      <w:r w:rsidR="002B2652" w:rsidRPr="00BB07CD">
        <w:rPr>
          <w:sz w:val="24"/>
          <w:szCs w:val="24"/>
        </w:rPr>
        <w:t>п</w:t>
      </w:r>
      <w:r w:rsidRPr="00BB07CD">
        <w:rPr>
          <w:sz w:val="24"/>
          <w:szCs w:val="24"/>
        </w:rPr>
        <w:t xml:space="preserve">риказом Минрегиона России от 12.03.2012 </w:t>
      </w:r>
      <w:r w:rsidR="000A42AB">
        <w:rPr>
          <w:sz w:val="24"/>
          <w:szCs w:val="24"/>
        </w:rPr>
        <w:t>№ </w:t>
      </w:r>
      <w:r w:rsidRPr="00BB07CD">
        <w:rPr>
          <w:sz w:val="24"/>
          <w:szCs w:val="24"/>
        </w:rPr>
        <w:t>96)</w:t>
      </w:r>
      <w:r w:rsidR="002B2652">
        <w:rPr>
          <w:sz w:val="24"/>
          <w:szCs w:val="24"/>
        </w:rPr>
        <w:t>;</w:t>
      </w:r>
    </w:p>
    <w:p w:rsidR="00BB07CD" w:rsidRPr="00BB07CD" w:rsidRDefault="00BB07CD" w:rsidP="002D4873">
      <w:pPr>
        <w:spacing w:line="209" w:lineRule="auto"/>
        <w:ind w:right="-598" w:firstLine="709"/>
        <w:jc w:val="both"/>
        <w:rPr>
          <w:sz w:val="24"/>
          <w:szCs w:val="24"/>
        </w:rPr>
      </w:pPr>
      <w:r w:rsidRPr="00BB07CD">
        <w:rPr>
          <w:sz w:val="24"/>
          <w:szCs w:val="24"/>
        </w:rPr>
        <w:t xml:space="preserve">- проверку достоверности определения сметной стоимости работ по капитальному ремонту общего имущества в многоквартирных домах (30 000 руб. с НДС согласно п. 2.6 постановления Правительства Пензенской области от 26.03.2024 </w:t>
      </w:r>
      <w:r w:rsidR="000A42AB">
        <w:rPr>
          <w:sz w:val="24"/>
          <w:szCs w:val="24"/>
        </w:rPr>
        <w:t>№ </w:t>
      </w:r>
      <w:r w:rsidRPr="00BB07CD">
        <w:rPr>
          <w:sz w:val="24"/>
          <w:szCs w:val="24"/>
        </w:rPr>
        <w:t xml:space="preserve">169-пП "Об утверждении Положения </w:t>
      </w:r>
      <w:r w:rsidR="002D4873">
        <w:rPr>
          <w:sz w:val="24"/>
          <w:szCs w:val="24"/>
        </w:rPr>
        <w:br/>
      </w:r>
      <w:r w:rsidRPr="00BB07CD">
        <w:rPr>
          <w:sz w:val="24"/>
          <w:szCs w:val="24"/>
        </w:rPr>
        <w:t>о порядке проведения некоторых видов проверок документации, осуществляемых государственным учреждением Пензенской области, подведомственным Министерству градостроительства и архитектуры Пензенской области</w:t>
      </w:r>
      <w:r w:rsidR="002B2652">
        <w:rPr>
          <w:sz w:val="24"/>
          <w:szCs w:val="24"/>
        </w:rPr>
        <w:t>,</w:t>
      </w:r>
      <w:r w:rsidRPr="00BB07CD">
        <w:rPr>
          <w:sz w:val="24"/>
          <w:szCs w:val="24"/>
        </w:rPr>
        <w:t xml:space="preserve"> и признании утратившими силу отдельных нормативных правовых актов Правительства Пензенской области" (с последующими изменениями)</w:t>
      </w:r>
      <w:r w:rsidR="002B2652">
        <w:rPr>
          <w:sz w:val="24"/>
          <w:szCs w:val="24"/>
        </w:rPr>
        <w:t>;</w:t>
      </w:r>
    </w:p>
    <w:p w:rsidR="00BB07CD" w:rsidRPr="00BB07CD" w:rsidRDefault="00BB07CD" w:rsidP="002D4873">
      <w:pPr>
        <w:spacing w:line="209" w:lineRule="auto"/>
        <w:ind w:right="-598" w:firstLine="709"/>
        <w:jc w:val="both"/>
        <w:rPr>
          <w:sz w:val="24"/>
          <w:szCs w:val="24"/>
        </w:rPr>
      </w:pPr>
      <w:r w:rsidRPr="00BB07CD">
        <w:rPr>
          <w:sz w:val="24"/>
          <w:szCs w:val="24"/>
        </w:rPr>
        <w:t xml:space="preserve">- оплату услуг по строительному контролю (не более 2,14 % от общей стоимости строительно-монтажных работ для ремонта фундамента, фасада, крыши и ВИС и не более 1,5 % от общей стоимости строительно-монтажных работ для замены лифтового оборудования) согласно постановлению Правительства Российской Федерации от 21.06.2010 </w:t>
      </w:r>
      <w:r w:rsidR="000A42AB">
        <w:rPr>
          <w:sz w:val="24"/>
          <w:szCs w:val="24"/>
        </w:rPr>
        <w:t>№ </w:t>
      </w:r>
      <w:r w:rsidRPr="00BB07CD">
        <w:rPr>
          <w:sz w:val="24"/>
          <w:szCs w:val="24"/>
        </w:rPr>
        <w:t>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 (с последующими изменениями).</w:t>
      </w:r>
    </w:p>
    <w:p w:rsidR="00426FF1" w:rsidRPr="00BB07CD" w:rsidRDefault="00BB07CD" w:rsidP="002D4873">
      <w:pPr>
        <w:spacing w:line="20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sectPr w:rsidR="00426FF1" w:rsidRPr="00BB07CD" w:rsidSect="00C27F9F">
      <w:pgSz w:w="16838" w:h="11906" w:orient="landscape" w:code="9"/>
      <w:pgMar w:top="1701" w:right="1134" w:bottom="567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68" w:rsidRDefault="00AA0768">
      <w:r>
        <w:separator/>
      </w:r>
    </w:p>
  </w:endnote>
  <w:endnote w:type="continuationSeparator" w:id="0">
    <w:p w:rsidR="00AA0768" w:rsidRDefault="00AA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24129">
      <w:rPr>
        <w:noProof/>
        <w:sz w:val="16"/>
      </w:rPr>
      <w:t>d:\пк1\пр4\постановления\18.12.24.08.docx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CD" w:rsidRDefault="00BB07CD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24129">
      <w:rPr>
        <w:noProof/>
        <w:sz w:val="16"/>
      </w:rPr>
      <w:t>d:\пк1\пр4\постановления\18.12.24.08.docx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68" w:rsidRDefault="00AA0768">
      <w:r>
        <w:separator/>
      </w:r>
    </w:p>
  </w:footnote>
  <w:footnote w:type="continuationSeparator" w:id="0">
    <w:p w:rsidR="00AA0768" w:rsidRDefault="00AA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CD" w:rsidRDefault="00BB07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1069">
      <w:rPr>
        <w:noProof/>
      </w:rPr>
      <w:t>4</w:t>
    </w:r>
    <w:r>
      <w:fldChar w:fldCharType="end"/>
    </w:r>
  </w:p>
  <w:p w:rsidR="00BB07CD" w:rsidRDefault="00BB07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E4"/>
    <w:rsid w:val="00004140"/>
    <w:rsid w:val="00014419"/>
    <w:rsid w:val="000A42AB"/>
    <w:rsid w:val="000B1160"/>
    <w:rsid w:val="000E0DAC"/>
    <w:rsid w:val="000F2BFC"/>
    <w:rsid w:val="0012039B"/>
    <w:rsid w:val="001211B3"/>
    <w:rsid w:val="00144E13"/>
    <w:rsid w:val="00154605"/>
    <w:rsid w:val="00165E2E"/>
    <w:rsid w:val="00167330"/>
    <w:rsid w:val="00185134"/>
    <w:rsid w:val="00190DEE"/>
    <w:rsid w:val="001B7A0D"/>
    <w:rsid w:val="001C1663"/>
    <w:rsid w:val="001E692E"/>
    <w:rsid w:val="00204F72"/>
    <w:rsid w:val="00211069"/>
    <w:rsid w:val="0021436B"/>
    <w:rsid w:val="0024384B"/>
    <w:rsid w:val="00271AE9"/>
    <w:rsid w:val="002A2CC8"/>
    <w:rsid w:val="002B2652"/>
    <w:rsid w:val="002B6B95"/>
    <w:rsid w:val="002D4873"/>
    <w:rsid w:val="002E3A70"/>
    <w:rsid w:val="00324129"/>
    <w:rsid w:val="00361371"/>
    <w:rsid w:val="003F4EA4"/>
    <w:rsid w:val="00426FF1"/>
    <w:rsid w:val="0044435B"/>
    <w:rsid w:val="00457052"/>
    <w:rsid w:val="0047451C"/>
    <w:rsid w:val="004827C1"/>
    <w:rsid w:val="00484586"/>
    <w:rsid w:val="0049613D"/>
    <w:rsid w:val="004D379D"/>
    <w:rsid w:val="004F2F09"/>
    <w:rsid w:val="005237B7"/>
    <w:rsid w:val="00534173"/>
    <w:rsid w:val="005373FC"/>
    <w:rsid w:val="0054374E"/>
    <w:rsid w:val="005E36E6"/>
    <w:rsid w:val="006008E4"/>
    <w:rsid w:val="006246CD"/>
    <w:rsid w:val="00631888"/>
    <w:rsid w:val="0069184F"/>
    <w:rsid w:val="006E4ED2"/>
    <w:rsid w:val="006F4247"/>
    <w:rsid w:val="006F74FD"/>
    <w:rsid w:val="0074074F"/>
    <w:rsid w:val="00760E5C"/>
    <w:rsid w:val="00765E43"/>
    <w:rsid w:val="007767E5"/>
    <w:rsid w:val="007F3006"/>
    <w:rsid w:val="008150CC"/>
    <w:rsid w:val="008217BE"/>
    <w:rsid w:val="0087623D"/>
    <w:rsid w:val="00886F02"/>
    <w:rsid w:val="008B02BF"/>
    <w:rsid w:val="008B484C"/>
    <w:rsid w:val="008F2667"/>
    <w:rsid w:val="009D14EE"/>
    <w:rsid w:val="009F7164"/>
    <w:rsid w:val="00A01858"/>
    <w:rsid w:val="00AA0768"/>
    <w:rsid w:val="00AD5B9C"/>
    <w:rsid w:val="00AE324C"/>
    <w:rsid w:val="00B1687E"/>
    <w:rsid w:val="00B713DD"/>
    <w:rsid w:val="00B715E7"/>
    <w:rsid w:val="00B868B9"/>
    <w:rsid w:val="00BA5A70"/>
    <w:rsid w:val="00BA62D6"/>
    <w:rsid w:val="00BB07CD"/>
    <w:rsid w:val="00BC488B"/>
    <w:rsid w:val="00C27F9F"/>
    <w:rsid w:val="00C43890"/>
    <w:rsid w:val="00C65BA8"/>
    <w:rsid w:val="00C71EE1"/>
    <w:rsid w:val="00C92830"/>
    <w:rsid w:val="00C96F98"/>
    <w:rsid w:val="00CA6FF9"/>
    <w:rsid w:val="00CA7455"/>
    <w:rsid w:val="00CB39BF"/>
    <w:rsid w:val="00CF0812"/>
    <w:rsid w:val="00D12D12"/>
    <w:rsid w:val="00D3044A"/>
    <w:rsid w:val="00D6613E"/>
    <w:rsid w:val="00D81903"/>
    <w:rsid w:val="00D92B08"/>
    <w:rsid w:val="00DD535C"/>
    <w:rsid w:val="00DD74B0"/>
    <w:rsid w:val="00E06208"/>
    <w:rsid w:val="00E931EB"/>
    <w:rsid w:val="00E977C5"/>
    <w:rsid w:val="00EE4D64"/>
    <w:rsid w:val="00F22B88"/>
    <w:rsid w:val="00F321C6"/>
    <w:rsid w:val="00F62C23"/>
    <w:rsid w:val="00F750BF"/>
    <w:rsid w:val="00F873BF"/>
    <w:rsid w:val="00FA6A2C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character" w:customStyle="1" w:styleId="a4">
    <w:name w:val="Верхний колонтитул Знак"/>
    <w:link w:val="a3"/>
    <w:uiPriority w:val="99"/>
    <w:rsid w:val="00BB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character" w:customStyle="1" w:styleId="a4">
    <w:name w:val="Верхний колонтитул Знак"/>
    <w:link w:val="a3"/>
    <w:uiPriority w:val="99"/>
    <w:rsid w:val="00BB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41EF-7B06-49B6-AD28-1A5D295B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5</Pages>
  <Words>984</Words>
  <Characters>5611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Рязанова Галина Геннадьевна</cp:lastModifiedBy>
  <cp:revision>2</cp:revision>
  <cp:lastPrinted>2024-12-23T08:37:00Z</cp:lastPrinted>
  <dcterms:created xsi:type="dcterms:W3CDTF">2024-12-24T08:28:00Z</dcterms:created>
  <dcterms:modified xsi:type="dcterms:W3CDTF">2024-12-24T08:28:00Z</dcterms:modified>
</cp:coreProperties>
</file>