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highlight w:val="none"/>
        </w:rPr>
      </w:r>
      <w:r>
        <w:rPr>
          <w:highlight w:val="none"/>
        </w:rPr>
      </w:r>
    </w:p>
    <w:tbl>
      <w:tblPr>
        <w:tblpPr w:horzAnchor="page" w:tblpX="683" w:vertAnchor="page" w:tblpY="1186" w:leftFromText="180" w:topFromText="0" w:rightFromText="180" w:bottomFromText="0"/>
        <w:tblW w:w="107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4677"/>
        <w:gridCol w:w="5235"/>
      </w:tblGrid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64" w:type="dxa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Приложение </w:t>
            </w:r>
            <w:r>
              <w:rPr>
                <w:sz w:val="20"/>
              </w:rPr>
            </w:r>
          </w:p>
          <w:p>
            <w:pPr>
              <w:jc w:val="right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Утверждено </w:t>
            </w:r>
            <w:r>
              <w:rPr>
                <w:sz w:val="20"/>
              </w:rPr>
            </w:r>
          </w:p>
          <w:p>
            <w:pPr>
              <w:jc w:val="right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______________________________________</w:t>
            </w:r>
            <w:r>
              <w:rPr>
                <w:sz w:val="20"/>
              </w:rPr>
            </w:r>
          </w:p>
          <w:p>
            <w:pPr>
              <w:jc w:val="right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______________________________________</w:t>
            </w:r>
            <w:r>
              <w:rPr>
                <w:sz w:val="20"/>
              </w:rPr>
            </w:r>
          </w:p>
          <w:p>
            <w:pPr>
              <w:jc w:val="right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______________________________________</w:t>
            </w:r>
            <w:r>
              <w:rPr>
                <w:sz w:val="20"/>
              </w:rPr>
            </w:r>
          </w:p>
          <w:p>
            <w:pPr>
              <w:pStyle w:val="687"/>
              <w:jc w:val="right"/>
              <w:rPr>
                <w:b/>
                <w:caps/>
                <w:sz w:val="24"/>
                <w:szCs w:val="24"/>
              </w:rPr>
            </w:pPr>
            <w:r>
              <w:t xml:space="preserve">от______________ №_________</w:t>
            </w:r>
            <w:r>
              <w:rPr>
                <w:b/>
                <w:caps/>
                <w:sz w:val="24"/>
                <w:szCs w:val="24"/>
              </w:rPr>
            </w:r>
          </w:p>
          <w:p>
            <w:pPr>
              <w:pStyle w:val="687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</w:r>
            <w:r>
              <w:rPr>
                <w:b/>
                <w:caps/>
                <w:sz w:val="24"/>
                <w:szCs w:val="24"/>
              </w:rPr>
            </w:r>
          </w:p>
          <w:p>
            <w:pPr>
              <w:pStyle w:val="687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 xml:space="preserve">ГРАФИЧЕСКОЕ ОПИСАНИЕ</w:t>
            </w:r>
            <w:r>
              <w:rPr>
                <w:b/>
                <w:caps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6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2738" w:leader="none"/>
              </w:tabs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>
              <w:rPr>
                <w:sz w:val="20"/>
              </w:rPr>
              <w:t xml:space="preserve">публичного сервитута</w:t>
            </w:r>
            <w:r>
              <w:rPr>
                <w:caps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6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2738" w:leader="none"/>
              </w:tabs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64" w:type="dxa"/>
            <w:vAlign w:val="center"/>
            <w:textDirection w:val="lrTb"/>
            <w:noWrap w:val="false"/>
          </w:tcPr>
          <w:p>
            <w:pPr>
              <w:pStyle w:val="687"/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58:18:0740101 для эксплуатации газопровода «Газопровод низкого давления до границы земельного участка по адресу: Пензенская область, </w:t>
            </w:r>
            <w:r>
              <w:rPr>
                <w:u w:val="single"/>
              </w:rPr>
              <w:t xml:space="preserve">Мокшанский</w:t>
            </w:r>
            <w:r>
              <w:rPr>
                <w:u w:val="single"/>
              </w:rPr>
              <w:t xml:space="preserve"> район, п. Мирный, ул. Совхозная, дом 55», протяженностью 18 м.</w:t>
            </w:r>
            <w:r>
              <w:rPr>
                <w:u w:val="single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6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2738" w:leader="none"/>
              </w:tabs>
            </w:pPr>
            <w:r>
              <w:rPr>
                <w:sz w:val="20"/>
              </w:rPr>
              <w:t xml:space="preserve"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>
              <w:rPr>
                <w:sz w:val="20"/>
              </w:rPr>
              <w:t xml:space="preserve">которого описано (далее - объект)</w:t>
            </w:r>
            <w:r/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764" w:type="dxa"/>
            <w:vAlign w:val="center"/>
            <w:textDirection w:val="lrTb"/>
            <w:noWrap w:val="false"/>
          </w:tcPr>
          <w:p>
            <w:pPr>
              <w:pStyle w:val="686"/>
              <w:jc w:val="center"/>
              <w:spacing w:line="240" w:lineRule="atLeast"/>
            </w:pPr>
            <w:r>
              <w:t xml:space="preserve">Раздел 1</w:t>
            </w:r>
            <w:r/>
          </w:p>
        </w:tc>
      </w:tr>
      <w:tr>
        <w:tblPrEx/>
        <w:trPr>
          <w:trHeight w:val="397" w:hRule="exact"/>
        </w:trPr>
        <w:tc>
          <w:tcPr>
            <w:gridSpan w:val="3"/>
            <w:tcW w:w="10764" w:type="dxa"/>
            <w:vAlign w:val="center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Сведения об объекте</w:t>
            </w:r>
            <w:r>
              <w:rPr>
                <w:sz w:val="20"/>
                <w:szCs w:val="24"/>
              </w:rPr>
            </w:r>
          </w:p>
        </w:tc>
      </w:tr>
      <w:tr>
        <w:tblPrEx/>
        <w:trPr>
          <w:trHeight w:val="246"/>
        </w:trPr>
        <w:tc>
          <w:tcPr>
            <w:tcW w:w="852" w:type="dxa"/>
            <w:vAlign w:val="center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№ п/п</w:t>
            </w:r>
            <w:r>
              <w:rPr>
                <w:sz w:val="20"/>
                <w:szCs w:val="24"/>
              </w:rPr>
            </w:r>
          </w:p>
        </w:tc>
        <w:tc>
          <w:tcPr>
            <w:tcW w:w="4677" w:type="dxa"/>
            <w:vAlign w:val="center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Характеристики объекта</w:t>
            </w:r>
            <w:r>
              <w:rPr>
                <w:sz w:val="20"/>
                <w:szCs w:val="24"/>
              </w:rPr>
            </w:r>
          </w:p>
        </w:tc>
        <w:tc>
          <w:tcPr>
            <w:tcW w:w="5235" w:type="dxa"/>
            <w:vAlign w:val="center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Описание характеристик</w:t>
            </w:r>
            <w:r>
              <w:rPr>
                <w:sz w:val="20"/>
                <w:szCs w:val="24"/>
              </w:rPr>
            </w:r>
          </w:p>
        </w:tc>
      </w:tr>
      <w:tr>
        <w:tblPrEx/>
        <w:trPr>
          <w:trHeight w:val="243"/>
        </w:trPr>
        <w:tc>
          <w:tcPr>
            <w:tcW w:w="852" w:type="dxa"/>
            <w:vAlign w:val="center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1</w:t>
            </w:r>
            <w:r>
              <w:rPr>
                <w:sz w:val="20"/>
                <w:szCs w:val="24"/>
              </w:rPr>
            </w:r>
          </w:p>
        </w:tc>
        <w:tc>
          <w:tcPr>
            <w:tcW w:w="4677" w:type="dxa"/>
            <w:vAlign w:val="center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2</w:t>
            </w:r>
            <w:r>
              <w:rPr>
                <w:sz w:val="20"/>
                <w:szCs w:val="24"/>
              </w:rPr>
            </w:r>
          </w:p>
        </w:tc>
        <w:tc>
          <w:tcPr>
            <w:tcW w:w="5235" w:type="dxa"/>
            <w:vAlign w:val="center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3</w:t>
            </w:r>
            <w:r>
              <w:rPr>
                <w:sz w:val="20"/>
                <w:szCs w:val="24"/>
              </w:rPr>
            </w:r>
          </w:p>
        </w:tc>
      </w:tr>
      <w:tr>
        <w:tblPrEx/>
        <w:trPr>
          <w:trHeight w:val="243"/>
        </w:trPr>
        <w:tc>
          <w:tcPr>
            <w:tcW w:w="852" w:type="dxa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1</w:t>
            </w:r>
            <w:r>
              <w:rPr>
                <w:sz w:val="20"/>
                <w:szCs w:val="24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686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Местоположение объекта</w:t>
            </w:r>
            <w:r>
              <w:rPr>
                <w:sz w:val="20"/>
                <w:szCs w:val="24"/>
              </w:rPr>
            </w:r>
          </w:p>
        </w:tc>
        <w:tc>
          <w:tcPr>
            <w:tcW w:w="5235" w:type="dxa"/>
            <w:textDirection w:val="lrTb"/>
            <w:noWrap w:val="false"/>
          </w:tcPr>
          <w:p>
            <w:pPr>
              <w:pStyle w:val="686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Пензенская область, район </w:t>
            </w:r>
            <w:r>
              <w:rPr>
                <w:sz w:val="20"/>
                <w:szCs w:val="24"/>
              </w:rPr>
              <w:t xml:space="preserve">Мокшанский</w:t>
            </w:r>
            <w:r>
              <w:rPr>
                <w:sz w:val="20"/>
                <w:szCs w:val="24"/>
              </w:rPr>
              <w:t xml:space="preserve">, поселок Мирный</w:t>
            </w:r>
            <w:r>
              <w:rPr>
                <w:sz w:val="20"/>
                <w:szCs w:val="24"/>
              </w:rPr>
            </w:r>
          </w:p>
        </w:tc>
      </w:tr>
      <w:tr>
        <w:tblPrEx/>
        <w:trPr>
          <w:trHeight w:val="243"/>
        </w:trPr>
        <w:tc>
          <w:tcPr>
            <w:tcW w:w="852" w:type="dxa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2</w:t>
            </w:r>
            <w:r>
              <w:rPr>
                <w:sz w:val="20"/>
                <w:szCs w:val="24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686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Площадь объекта +/- величина погрешности определения площади</w:t>
            </w:r>
            <w:r>
              <w:rPr>
                <w:sz w:val="20"/>
                <w:szCs w:val="24"/>
              </w:rPr>
            </w:r>
          </w:p>
          <w:p>
            <w:pPr>
              <w:pStyle w:val="686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(Р+/- Дельта Р)</w:t>
            </w:r>
            <w:r>
              <w:rPr>
                <w:sz w:val="20"/>
                <w:szCs w:val="24"/>
              </w:rPr>
            </w:r>
          </w:p>
        </w:tc>
        <w:tc>
          <w:tcPr>
            <w:tcW w:w="5235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71 </w:t>
            </w:r>
            <w:r>
              <w:rPr>
                <w:sz w:val="20"/>
                <w:lang w:val="en-US"/>
              </w:rPr>
              <w:t xml:space="preserve">кв.м</w:t>
            </w:r>
            <w:r>
              <w:rPr>
                <w:sz w:val="20"/>
                <w:lang w:val="en-US"/>
              </w:rPr>
              <w:t xml:space="preserve"> ± 1.75 </w:t>
            </w:r>
            <w:r>
              <w:rPr>
                <w:sz w:val="20"/>
                <w:lang w:val="en-US"/>
              </w:rPr>
              <w:t xml:space="preserve">кв.м</w:t>
            </w:r>
            <w:r>
              <w:rPr>
                <w:sz w:val="20"/>
              </w:rPr>
            </w:r>
          </w:p>
        </w:tc>
      </w:tr>
      <w:tr>
        <w:tblPrEx/>
        <w:trPr>
          <w:trHeight w:val="243"/>
        </w:trPr>
        <w:tc>
          <w:tcPr>
            <w:tcW w:w="852" w:type="dxa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</w:rPr>
              <w:t xml:space="preserve">3</w:t>
            </w:r>
            <w:r>
              <w:rPr>
                <w:sz w:val="20"/>
                <w:szCs w:val="24"/>
                <w:lang w:val="en-US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686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Иные характеристики объекта</w:t>
            </w:r>
            <w:r>
              <w:rPr>
                <w:sz w:val="20"/>
                <w:szCs w:val="24"/>
              </w:rPr>
            </w:r>
          </w:p>
        </w:tc>
        <w:tc>
          <w:tcPr>
            <w:tcW w:w="5235" w:type="dxa"/>
            <w:textDirection w:val="lrTb"/>
            <w:noWrap w:val="false"/>
          </w:tcPr>
          <w:p>
            <w:pPr>
              <w:pStyle w:val="686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 xml:space="preserve">–</w:t>
            </w:r>
            <w:r>
              <w:rPr>
                <w:sz w:val="20"/>
                <w:szCs w:val="24"/>
                <w:lang w:val="en-US"/>
              </w:rPr>
            </w:r>
          </w:p>
        </w:tc>
      </w:tr>
    </w:tbl>
    <w:tbl>
      <w:tblPr>
        <w:tblW w:w="1063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691"/>
        <w:gridCol w:w="1558"/>
        <w:gridCol w:w="1562"/>
        <w:gridCol w:w="2986"/>
        <w:gridCol w:w="1560"/>
        <w:gridCol w:w="1275"/>
      </w:tblGrid>
      <w:tr>
        <w:tblPrEx/>
        <w:trPr>
          <w:trHeight w:val="430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632" w:type="dxa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</w:rPr>
            </w:pPr>
            <w:r/>
            <w:bookmarkStart w:id="0" w:name="_GoBack"/>
            <w:r/>
            <w:bookmarkEnd w:id="0"/>
            <w:r>
              <w:t xml:space="preserve">Раздел 2</w:t>
            </w:r>
            <w:r>
              <w:rPr>
                <w:sz w:val="20"/>
              </w:rPr>
            </w:r>
          </w:p>
        </w:tc>
      </w:tr>
      <w:tr>
        <w:tblPrEx/>
        <w:trPr>
          <w:trHeight w:val="430"/>
        </w:trPr>
        <w:tc>
          <w:tcPr>
            <w:gridSpan w:val="6"/>
            <w:tcW w:w="10632" w:type="dxa"/>
            <w:textDirection w:val="lrTb"/>
            <w:noWrap w:val="false"/>
          </w:tcPr>
          <w:p>
            <w:pPr>
              <w:pStyle w:val="686"/>
              <w:jc w:val="center"/>
              <w:spacing w:before="120"/>
              <w:rPr>
                <w:sz w:val="20"/>
              </w:rPr>
            </w:pPr>
            <w:r>
              <w:rPr>
                <w:sz w:val="20"/>
              </w:rPr>
              <w:t xml:space="preserve">Сведения о местоположении границ объекта</w:t>
            </w:r>
            <w:r>
              <w:rPr>
                <w:sz w:val="20"/>
              </w:rPr>
            </w:r>
          </w:p>
        </w:tc>
      </w:tr>
      <w:tr>
        <w:tblPrEx/>
        <w:trPr>
          <w:trHeight w:val="397" w:hRule="exact"/>
        </w:trPr>
        <w:tc>
          <w:tcPr>
            <w:gridSpan w:val="6"/>
            <w:tcW w:w="10632" w:type="dxa"/>
            <w:textDirection w:val="lrTb"/>
            <w:noWrap w:val="false"/>
          </w:tcPr>
          <w:p>
            <w:pPr>
              <w:pStyle w:val="686"/>
              <w:rPr>
                <w:sz w:val="20"/>
              </w:rPr>
            </w:pPr>
            <w:r>
              <w:rPr>
                <w:sz w:val="20"/>
              </w:rPr>
              <w:t xml:space="preserve">1. Система координат </w:t>
            </w:r>
            <w:r>
              <w:rPr>
                <w:sz w:val="20"/>
                <w:u w:val="single"/>
              </w:rPr>
              <w:t xml:space="preserve">МСК-58, зона 1</w:t>
            </w:r>
            <w:r>
              <w:rPr>
                <w:sz w:val="20"/>
              </w:rPr>
            </w:r>
          </w:p>
        </w:tc>
      </w:tr>
      <w:tr>
        <w:tblPrEx/>
        <w:trPr>
          <w:trHeight w:val="397" w:hRule="exact"/>
        </w:trPr>
        <w:tc>
          <w:tcPr>
            <w:gridSpan w:val="6"/>
            <w:tcW w:w="1063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 Сведения о характерных точках границ объекта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4"/>
        </w:trPr>
        <w:tc>
          <w:tcPr>
            <w:tcW w:w="1691" w:type="dxa"/>
            <w:vAlign w:val="center"/>
            <w:vMerge w:val="restart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Обозначение</w:t>
            </w:r>
            <w:r>
              <w:rPr>
                <w:sz w:val="20"/>
              </w:rPr>
            </w:r>
          </w:p>
          <w:p>
            <w:pPr>
              <w:pStyle w:val="68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характерных точек границ</w:t>
            </w:r>
            <w:r>
              <w:rPr>
                <w:sz w:val="20"/>
              </w:rPr>
            </w:r>
          </w:p>
        </w:tc>
        <w:tc>
          <w:tcPr>
            <w:gridSpan w:val="2"/>
            <w:tcW w:w="3120" w:type="dxa"/>
            <w:vAlign w:val="center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Координаты, м</w:t>
            </w:r>
            <w:r>
              <w:rPr>
                <w:sz w:val="20"/>
              </w:rPr>
            </w:r>
          </w:p>
        </w:tc>
        <w:tc>
          <w:tcPr>
            <w:tcW w:w="2986" w:type="dxa"/>
            <w:vAlign w:val="center"/>
            <w:vMerge w:val="restart"/>
            <w:textDirection w:val="lrTb"/>
            <w:noWrap w:val="false"/>
          </w:tcPr>
          <w:p>
            <w:pPr>
              <w:pStyle w:val="686"/>
              <w:jc w:val="center"/>
              <w:spacing w:before="60" w:after="60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  <w:r>
              <w:rPr>
                <w:sz w:val="20"/>
              </w:rPr>
            </w:r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pStyle w:val="686"/>
              <w:jc w:val="center"/>
              <w:spacing w:before="60" w:after="60"/>
              <w:rPr>
                <w:sz w:val="20"/>
              </w:rPr>
            </w:pPr>
            <w:r>
              <w:rPr>
                <w:sz w:val="20"/>
              </w:rPr>
              <w:t xml:space="preserve">Средняя </w:t>
            </w:r>
            <w:r>
              <w:rPr>
                <w:sz w:val="20"/>
              </w:rPr>
              <w:t xml:space="preserve">квадратическая</w:t>
            </w:r>
            <w:r>
              <w:rPr>
                <w:sz w:val="20"/>
              </w:rPr>
              <w:t xml:space="preserve">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 xml:space="preserve">t</w:t>
            </w:r>
            <w:r>
              <w:rPr>
                <w:sz w:val="20"/>
              </w:rPr>
              <w:t xml:space="preserve">), м</w:t>
            </w:r>
            <w:r>
              <w:rPr>
                <w:sz w:val="20"/>
              </w:rPr>
            </w:r>
          </w:p>
        </w:tc>
        <w:tc>
          <w:tcPr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pStyle w:val="686"/>
              <w:jc w:val="center"/>
              <w:spacing w:before="60" w:after="60"/>
              <w:rPr>
                <w:sz w:val="20"/>
              </w:rPr>
            </w:pPr>
            <w:r>
              <w:rPr>
                <w:sz w:val="20"/>
              </w:rPr>
              <w:t xml:space="preserve">Описание обозначения точки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на местности (при наличии)</w:t>
            </w:r>
            <w:r>
              <w:rPr>
                <w:sz w:val="20"/>
              </w:rPr>
            </w:r>
          </w:p>
        </w:tc>
      </w:tr>
      <w:tr>
        <w:tblPrEx/>
        <w:trPr>
          <w:trHeight w:val="54"/>
        </w:trPr>
        <w:tc>
          <w:tcPr>
            <w:tcW w:w="1691" w:type="dxa"/>
            <w:vAlign w:val="center"/>
            <w:vMerge w:val="continue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58" w:type="dxa"/>
            <w:vAlign w:val="center"/>
            <w:textDirection w:val="lrTb"/>
            <w:noWrap w:val="false"/>
          </w:tcPr>
          <w:p>
            <w:pPr>
              <w:pStyle w:val="6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</w:p>
        </w:tc>
        <w:tc>
          <w:tcPr>
            <w:tcW w:w="1562" w:type="dxa"/>
            <w:vAlign w:val="center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Y</w:t>
            </w:r>
            <w:r>
              <w:rPr>
                <w:sz w:val="20"/>
                <w:lang w:val="en-US"/>
              </w:rPr>
            </w:r>
          </w:p>
        </w:tc>
        <w:tc>
          <w:tcPr>
            <w:tcW w:w="2986" w:type="dxa"/>
            <w:vAlign w:val="center"/>
            <w:vMerge w:val="continue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60" w:type="dxa"/>
            <w:vMerge w:val="continue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275" w:type="dxa"/>
            <w:vAlign w:val="center"/>
            <w:vMerge w:val="continue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54"/>
        </w:trPr>
        <w:tc>
          <w:tcPr>
            <w:tcW w:w="1691" w:type="dxa"/>
            <w:vAlign w:val="center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1558" w:type="dxa"/>
            <w:vAlign w:val="center"/>
            <w:textDirection w:val="lrTb"/>
            <w:noWrap w:val="false"/>
          </w:tcPr>
          <w:p>
            <w:pPr>
              <w:pStyle w:val="6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W w:w="1562" w:type="dxa"/>
            <w:vAlign w:val="center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3</w:t>
            </w:r>
            <w:r>
              <w:rPr>
                <w:sz w:val="20"/>
                <w:lang w:val="en-US"/>
              </w:rPr>
            </w:r>
          </w:p>
        </w:tc>
        <w:tc>
          <w:tcPr>
            <w:tcW w:w="2986" w:type="dxa"/>
            <w:vAlign w:val="center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</w:t>
            </w:r>
            <w:r>
              <w:rPr>
                <w:sz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</w:t>
            </w:r>
            <w:r>
              <w:rPr>
                <w:sz w:val="20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</w:t>
            </w:r>
            <w:r>
              <w:rPr>
                <w:sz w:val="20"/>
              </w:rPr>
            </w:r>
          </w:p>
        </w:tc>
      </w:tr>
      <w:tr>
        <w:tblPrEx/>
        <w:trPr>
          <w:trHeight w:val="54"/>
        </w:trPr>
        <w:tc>
          <w:tcPr>
            <w:tcW w:w="169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1</w:t>
            </w:r>
            <w:r>
              <w:rPr>
                <w:sz w:val="18"/>
                <w:szCs w:val="20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401721.04</w:t>
            </w:r>
            <w:r>
              <w:rPr>
                <w:sz w:val="18"/>
                <w:szCs w:val="20"/>
              </w:rPr>
            </w:r>
          </w:p>
        </w:tc>
        <w:tc>
          <w:tcPr>
            <w:tcW w:w="1562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1410481.23</w:t>
            </w:r>
            <w:r>
              <w:rPr>
                <w:sz w:val="18"/>
                <w:szCs w:val="20"/>
              </w:rPr>
            </w:r>
          </w:p>
        </w:tc>
        <w:tc>
          <w:tcPr>
            <w:tcW w:w="298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Метод спутниковых геодезических измерений (определений)</w:t>
            </w:r>
            <w:r>
              <w:rPr>
                <w:sz w:val="18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0.10</w:t>
            </w:r>
            <w:r>
              <w:rPr>
                <w:sz w:val="18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–</w:t>
            </w:r>
            <w:r>
              <w:rPr>
                <w:sz w:val="18"/>
                <w:szCs w:val="20"/>
              </w:rPr>
            </w:r>
          </w:p>
        </w:tc>
      </w:tr>
      <w:tr>
        <w:tblPrEx/>
        <w:trPr>
          <w:trHeight w:val="54"/>
        </w:trPr>
        <w:tc>
          <w:tcPr>
            <w:tcW w:w="169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2</w:t>
            </w:r>
            <w:r>
              <w:rPr>
                <w:sz w:val="18"/>
                <w:szCs w:val="20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401705.32</w:t>
            </w:r>
            <w:r>
              <w:rPr>
                <w:sz w:val="18"/>
                <w:szCs w:val="20"/>
              </w:rPr>
            </w:r>
          </w:p>
        </w:tc>
        <w:tc>
          <w:tcPr>
            <w:tcW w:w="1562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1410489.24</w:t>
            </w:r>
            <w:r>
              <w:rPr>
                <w:sz w:val="18"/>
                <w:szCs w:val="20"/>
              </w:rPr>
            </w:r>
          </w:p>
        </w:tc>
        <w:tc>
          <w:tcPr>
            <w:tcW w:w="298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Метод спутниковых геодезических измерений (определений)</w:t>
            </w:r>
            <w:r>
              <w:rPr>
                <w:sz w:val="18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0.10</w:t>
            </w:r>
            <w:r>
              <w:rPr>
                <w:sz w:val="18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–</w:t>
            </w:r>
            <w:r>
              <w:rPr>
                <w:sz w:val="18"/>
                <w:szCs w:val="20"/>
              </w:rPr>
            </w:r>
          </w:p>
        </w:tc>
      </w:tr>
      <w:tr>
        <w:tblPrEx/>
        <w:trPr>
          <w:trHeight w:val="54"/>
        </w:trPr>
        <w:tc>
          <w:tcPr>
            <w:tcW w:w="169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3</w:t>
            </w:r>
            <w:r>
              <w:rPr>
                <w:sz w:val="18"/>
                <w:szCs w:val="20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401703.50</w:t>
            </w:r>
            <w:r>
              <w:rPr>
                <w:sz w:val="18"/>
                <w:szCs w:val="20"/>
              </w:rPr>
            </w:r>
          </w:p>
        </w:tc>
        <w:tc>
          <w:tcPr>
            <w:tcW w:w="1562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1410485.68</w:t>
            </w:r>
            <w:r>
              <w:rPr>
                <w:sz w:val="18"/>
                <w:szCs w:val="20"/>
              </w:rPr>
            </w:r>
          </w:p>
        </w:tc>
        <w:tc>
          <w:tcPr>
            <w:tcW w:w="298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Метод спутниковых геодезических измерений (определений)</w:t>
            </w:r>
            <w:r>
              <w:rPr>
                <w:sz w:val="18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0.10</w:t>
            </w:r>
            <w:r>
              <w:rPr>
                <w:sz w:val="18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–</w:t>
            </w:r>
            <w:r>
              <w:rPr>
                <w:sz w:val="18"/>
                <w:szCs w:val="20"/>
              </w:rPr>
            </w:r>
          </w:p>
        </w:tc>
      </w:tr>
      <w:tr>
        <w:tblPrEx/>
        <w:trPr>
          <w:trHeight w:val="54"/>
        </w:trPr>
        <w:tc>
          <w:tcPr>
            <w:tcW w:w="169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4</w:t>
            </w:r>
            <w:r>
              <w:rPr>
                <w:sz w:val="18"/>
                <w:szCs w:val="20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401719.22</w:t>
            </w:r>
            <w:r>
              <w:rPr>
                <w:sz w:val="18"/>
                <w:szCs w:val="20"/>
              </w:rPr>
            </w:r>
          </w:p>
        </w:tc>
        <w:tc>
          <w:tcPr>
            <w:tcW w:w="1562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1410477.67</w:t>
            </w:r>
            <w:r>
              <w:rPr>
                <w:sz w:val="18"/>
                <w:szCs w:val="20"/>
              </w:rPr>
            </w:r>
          </w:p>
        </w:tc>
        <w:tc>
          <w:tcPr>
            <w:tcW w:w="298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Метод спутниковых геодезических измерений (определений)</w:t>
            </w:r>
            <w:r>
              <w:rPr>
                <w:sz w:val="18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0.10</w:t>
            </w:r>
            <w:r>
              <w:rPr>
                <w:sz w:val="18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–</w:t>
            </w:r>
            <w:r>
              <w:rPr>
                <w:sz w:val="18"/>
                <w:szCs w:val="20"/>
              </w:rPr>
            </w:r>
          </w:p>
        </w:tc>
      </w:tr>
      <w:tr>
        <w:tblPrEx/>
        <w:trPr>
          <w:trHeight w:val="54"/>
        </w:trPr>
        <w:tc>
          <w:tcPr>
            <w:tcW w:w="169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1</w:t>
            </w:r>
            <w:r>
              <w:rPr>
                <w:sz w:val="18"/>
                <w:szCs w:val="20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401721.04</w:t>
            </w:r>
            <w:r>
              <w:rPr>
                <w:sz w:val="18"/>
                <w:szCs w:val="20"/>
              </w:rPr>
            </w:r>
          </w:p>
        </w:tc>
        <w:tc>
          <w:tcPr>
            <w:tcW w:w="1562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1410481.23</w:t>
            </w:r>
            <w:r>
              <w:rPr>
                <w:sz w:val="18"/>
                <w:szCs w:val="20"/>
              </w:rPr>
            </w:r>
          </w:p>
        </w:tc>
        <w:tc>
          <w:tcPr>
            <w:tcW w:w="298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Метод спутниковых геодезических измерений (определений)</w:t>
            </w:r>
            <w:r>
              <w:rPr>
                <w:sz w:val="18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0.10</w:t>
            </w:r>
            <w:r>
              <w:rPr>
                <w:sz w:val="18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–</w:t>
            </w:r>
            <w:r>
              <w:rPr>
                <w:sz w:val="18"/>
                <w:szCs w:val="20"/>
              </w:rPr>
            </w:r>
          </w:p>
        </w:tc>
      </w:tr>
      <w:tr>
        <w:tblPrEx/>
        <w:trPr>
          <w:trHeight w:val="397" w:hRule="exact"/>
        </w:trPr>
        <w:tc>
          <w:tcPr>
            <w:gridSpan w:val="6"/>
            <w:tcW w:w="1063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 Сведения о характерных точках части (частей) границы объекта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4"/>
        </w:trPr>
        <w:tc>
          <w:tcPr>
            <w:tcW w:w="1691" w:type="dxa"/>
            <w:vAlign w:val="center"/>
            <w:vMerge w:val="restart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Обозначение</w:t>
            </w:r>
            <w:r>
              <w:rPr>
                <w:sz w:val="20"/>
              </w:rPr>
            </w:r>
          </w:p>
          <w:p>
            <w:pPr>
              <w:pStyle w:val="68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характерных точек части границы</w:t>
            </w:r>
            <w:r>
              <w:rPr>
                <w:sz w:val="20"/>
              </w:rPr>
            </w:r>
          </w:p>
        </w:tc>
        <w:tc>
          <w:tcPr>
            <w:gridSpan w:val="2"/>
            <w:tcW w:w="3120" w:type="dxa"/>
            <w:vAlign w:val="center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Координаты, м</w:t>
            </w:r>
            <w:r>
              <w:rPr>
                <w:sz w:val="20"/>
              </w:rPr>
            </w:r>
          </w:p>
        </w:tc>
        <w:tc>
          <w:tcPr>
            <w:tcW w:w="2986" w:type="dxa"/>
            <w:vAlign w:val="center"/>
            <w:vMerge w:val="restart"/>
            <w:textDirection w:val="lrTb"/>
            <w:noWrap w:val="false"/>
          </w:tcPr>
          <w:p>
            <w:pPr>
              <w:pStyle w:val="686"/>
              <w:jc w:val="center"/>
              <w:spacing w:before="60" w:after="60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  <w:r>
              <w:rPr>
                <w:sz w:val="20"/>
              </w:rPr>
            </w:r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pStyle w:val="686"/>
              <w:jc w:val="center"/>
              <w:spacing w:before="60" w:after="60"/>
              <w:rPr>
                <w:sz w:val="20"/>
              </w:rPr>
            </w:pPr>
            <w:r>
              <w:rPr>
                <w:sz w:val="20"/>
              </w:rPr>
              <w:t xml:space="preserve">Средняя </w:t>
            </w:r>
            <w:r>
              <w:rPr>
                <w:sz w:val="20"/>
              </w:rPr>
              <w:t xml:space="preserve">квадратическая</w:t>
            </w:r>
            <w:r>
              <w:rPr>
                <w:sz w:val="20"/>
              </w:rPr>
              <w:t xml:space="preserve">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 xml:space="preserve">t</w:t>
            </w:r>
            <w:r>
              <w:rPr>
                <w:sz w:val="20"/>
              </w:rPr>
              <w:t xml:space="preserve">), м</w:t>
            </w:r>
            <w:r>
              <w:rPr>
                <w:sz w:val="20"/>
              </w:rPr>
            </w:r>
          </w:p>
        </w:tc>
        <w:tc>
          <w:tcPr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pStyle w:val="686"/>
              <w:jc w:val="center"/>
              <w:spacing w:before="60" w:after="60"/>
              <w:rPr>
                <w:sz w:val="20"/>
              </w:rPr>
            </w:pPr>
            <w:r>
              <w:rPr>
                <w:sz w:val="20"/>
              </w:rPr>
              <w:t xml:space="preserve">Описание обозначения точки на местности (при наличии)</w:t>
            </w:r>
            <w:r>
              <w:rPr>
                <w:sz w:val="20"/>
              </w:rPr>
            </w:r>
          </w:p>
        </w:tc>
      </w:tr>
      <w:tr>
        <w:tblPrEx/>
        <w:trPr>
          <w:trHeight w:val="54"/>
        </w:trPr>
        <w:tc>
          <w:tcPr>
            <w:tcW w:w="1691" w:type="dxa"/>
            <w:vAlign w:val="center"/>
            <w:vMerge w:val="continue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58" w:type="dxa"/>
            <w:vAlign w:val="center"/>
            <w:textDirection w:val="lrTb"/>
            <w:noWrap w:val="false"/>
          </w:tcPr>
          <w:p>
            <w:pPr>
              <w:pStyle w:val="6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</w:p>
        </w:tc>
        <w:tc>
          <w:tcPr>
            <w:tcW w:w="1562" w:type="dxa"/>
            <w:vAlign w:val="center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Y</w:t>
            </w:r>
            <w:r>
              <w:rPr>
                <w:sz w:val="20"/>
                <w:lang w:val="en-US"/>
              </w:rPr>
            </w:r>
          </w:p>
        </w:tc>
        <w:tc>
          <w:tcPr>
            <w:tcW w:w="2986" w:type="dxa"/>
            <w:vAlign w:val="center"/>
            <w:vMerge w:val="continue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60" w:type="dxa"/>
            <w:vMerge w:val="continue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275" w:type="dxa"/>
            <w:vAlign w:val="center"/>
            <w:vMerge w:val="continue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54"/>
        </w:trPr>
        <w:tc>
          <w:tcPr>
            <w:tcW w:w="1691" w:type="dxa"/>
            <w:vAlign w:val="center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1558" w:type="dxa"/>
            <w:vAlign w:val="center"/>
            <w:textDirection w:val="lrTb"/>
            <w:noWrap w:val="false"/>
          </w:tcPr>
          <w:p>
            <w:pPr>
              <w:pStyle w:val="6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W w:w="1562" w:type="dxa"/>
            <w:vAlign w:val="center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3</w:t>
            </w:r>
            <w:r>
              <w:rPr>
                <w:sz w:val="20"/>
                <w:lang w:val="en-US"/>
              </w:rPr>
            </w:r>
          </w:p>
        </w:tc>
        <w:tc>
          <w:tcPr>
            <w:tcW w:w="2986" w:type="dxa"/>
            <w:vAlign w:val="center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</w:t>
            </w:r>
            <w:r>
              <w:rPr>
                <w:sz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</w:t>
            </w:r>
            <w:r>
              <w:rPr>
                <w:sz w:val="20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</w:t>
            </w:r>
            <w:r>
              <w:rPr>
                <w:sz w:val="20"/>
              </w:rPr>
            </w:r>
          </w:p>
        </w:tc>
      </w:tr>
      <w:tr>
        <w:tblPrEx/>
        <w:trPr>
          <w:trHeight w:val="243"/>
        </w:trPr>
        <w:tc>
          <w:tcPr>
            <w:tcW w:w="169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–</w:t>
            </w:r>
            <w:r/>
          </w:p>
        </w:tc>
        <w:tc>
          <w:tcPr>
            <w:tcW w:w="155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–</w:t>
            </w:r>
            <w:r/>
          </w:p>
        </w:tc>
        <w:tc>
          <w:tcPr>
            <w:tcW w:w="15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–</w:t>
            </w:r>
            <w:r/>
          </w:p>
        </w:tc>
        <w:tc>
          <w:tcPr>
            <w:tcW w:w="298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18"/>
                <w:szCs w:val="18"/>
                <w:lang w:val="en-US"/>
              </w:rPr>
              <w:t xml:space="preserve">–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–</w:t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–</w:t>
            </w:r>
            <w:r/>
          </w:p>
        </w:tc>
      </w:tr>
    </w:tbl>
    <w:p>
      <w:r>
        <w:br w:type="page" w:clear="all"/>
      </w:r>
      <w:r/>
    </w:p>
    <w:p>
      <w:r/>
      <w:r/>
    </w:p>
    <w:sectPr>
      <w:footerReference w:type="default" r:id="rId8"/>
      <w:footerReference w:type="even" r:id="rId9"/>
      <w:footnotePr/>
      <w:endnotePr/>
      <w:type w:val="nextPage"/>
      <w:pgSz w:w="11906" w:h="16838" w:orient="portrait"/>
      <w:pgMar w:top="1134" w:right="566" w:bottom="1134" w:left="1134" w:header="709" w:footer="709" w:gutter="0"/>
      <w:cols w:num="1" w:sep="0" w:space="39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3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3"/>
      <w:rPr>
        <w:rStyle w:val="685"/>
      </w:rPr>
      <w:framePr w:wrap="around" w:vAnchor="text" w:hAnchor="margin" w:xAlign="right" w:y="1"/>
    </w:pPr>
    <w:r>
      <w:rPr>
        <w:rStyle w:val="685"/>
      </w:rPr>
      <w:fldChar w:fldCharType="begin"/>
    </w:r>
    <w:r>
      <w:rPr>
        <w:rStyle w:val="685"/>
      </w:rPr>
      <w:instrText xml:space="preserve">PAGE  </w:instrText>
    </w:r>
    <w:r>
      <w:rPr>
        <w:rStyle w:val="685"/>
      </w:rPr>
      <w:fldChar w:fldCharType="end"/>
    </w:r>
    <w:r>
      <w:rPr>
        <w:rStyle w:val="685"/>
      </w:rPr>
    </w:r>
  </w:p>
  <w:p>
    <w:pPr>
      <w:pStyle w:val="683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79"/>
    <w:next w:val="67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8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79"/>
    <w:next w:val="67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9"/>
    <w:next w:val="67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9"/>
    <w:next w:val="67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9"/>
    <w:next w:val="67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9"/>
    <w:next w:val="67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9"/>
    <w:next w:val="67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9"/>
    <w:next w:val="67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9"/>
    <w:next w:val="67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7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79"/>
    <w:next w:val="67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80"/>
    <w:link w:val="34"/>
    <w:uiPriority w:val="10"/>
    <w:rPr>
      <w:sz w:val="48"/>
      <w:szCs w:val="48"/>
    </w:rPr>
  </w:style>
  <w:style w:type="paragraph" w:styleId="36">
    <w:name w:val="Subtitle"/>
    <w:basedOn w:val="679"/>
    <w:next w:val="67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80"/>
    <w:link w:val="36"/>
    <w:uiPriority w:val="11"/>
    <w:rPr>
      <w:sz w:val="24"/>
      <w:szCs w:val="24"/>
    </w:rPr>
  </w:style>
  <w:style w:type="paragraph" w:styleId="38">
    <w:name w:val="Quote"/>
    <w:basedOn w:val="679"/>
    <w:next w:val="67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9"/>
    <w:next w:val="67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7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80"/>
    <w:link w:val="42"/>
    <w:uiPriority w:val="99"/>
  </w:style>
  <w:style w:type="character" w:styleId="45">
    <w:name w:val="Footer Char"/>
    <w:basedOn w:val="680"/>
    <w:link w:val="683"/>
    <w:uiPriority w:val="99"/>
  </w:style>
  <w:style w:type="paragraph" w:styleId="46">
    <w:name w:val="Caption"/>
    <w:basedOn w:val="679"/>
    <w:next w:val="67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80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8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8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7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80"/>
    <w:uiPriority w:val="99"/>
    <w:unhideWhenUsed/>
    <w:rPr>
      <w:vertAlign w:val="superscript"/>
    </w:rPr>
  </w:style>
  <w:style w:type="character" w:styleId="179">
    <w:name w:val="Endnote Text Char"/>
    <w:link w:val="687"/>
    <w:uiPriority w:val="99"/>
    <w:rPr>
      <w:sz w:val="20"/>
    </w:rPr>
  </w:style>
  <w:style w:type="character" w:styleId="180">
    <w:name w:val="endnote reference"/>
    <w:basedOn w:val="680"/>
    <w:uiPriority w:val="99"/>
    <w:semiHidden/>
    <w:unhideWhenUsed/>
    <w:rPr>
      <w:vertAlign w:val="superscript"/>
    </w:rPr>
  </w:style>
  <w:style w:type="paragraph" w:styleId="181">
    <w:name w:val="toc 1"/>
    <w:basedOn w:val="679"/>
    <w:next w:val="67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9"/>
    <w:next w:val="67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9"/>
    <w:next w:val="67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9"/>
    <w:next w:val="67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9"/>
    <w:next w:val="67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9"/>
    <w:next w:val="67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9"/>
    <w:next w:val="67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9"/>
    <w:next w:val="67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9"/>
    <w:next w:val="67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9"/>
    <w:next w:val="679"/>
    <w:uiPriority w:val="99"/>
    <w:unhideWhenUsed/>
    <w:pPr>
      <w:spacing w:after="0" w:afterAutospacing="0"/>
    </w:pPr>
  </w:style>
  <w:style w:type="paragraph" w:styleId="679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80" w:default="1">
    <w:name w:val="Default Paragraph Font"/>
    <w:uiPriority w:val="1"/>
    <w:semiHidden/>
    <w:unhideWhenUsed/>
  </w:style>
  <w:style w:type="table" w:styleId="68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2" w:default="1">
    <w:name w:val="No List"/>
    <w:uiPriority w:val="99"/>
    <w:semiHidden/>
    <w:unhideWhenUsed/>
  </w:style>
  <w:style w:type="paragraph" w:styleId="683">
    <w:name w:val="Footer"/>
    <w:basedOn w:val="679"/>
    <w:link w:val="684"/>
    <w:pPr>
      <w:tabs>
        <w:tab w:val="center" w:pos="4677" w:leader="none"/>
        <w:tab w:val="right" w:pos="9355" w:leader="none"/>
      </w:tabs>
    </w:pPr>
  </w:style>
  <w:style w:type="character" w:styleId="684" w:customStyle="1">
    <w:name w:val="Нижний колонтитул Знак"/>
    <w:basedOn w:val="680"/>
    <w:link w:val="68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85">
    <w:name w:val="page number"/>
    <w:basedOn w:val="680"/>
  </w:style>
  <w:style w:type="paragraph" w:styleId="686" w:customStyle="1">
    <w:name w:val="Обычный1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687">
    <w:name w:val="endnote text"/>
    <w:basedOn w:val="679"/>
    <w:link w:val="688"/>
    <w:rPr>
      <w:sz w:val="20"/>
      <w:szCs w:val="20"/>
    </w:rPr>
  </w:style>
  <w:style w:type="character" w:styleId="688" w:customStyle="1">
    <w:name w:val="Текст концевой сноски Знак"/>
    <w:basedOn w:val="680"/>
    <w:link w:val="687"/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adamova_ng</cp:lastModifiedBy>
  <cp:revision>4</cp:revision>
  <dcterms:created xsi:type="dcterms:W3CDTF">2025-11-06T13:18:00Z</dcterms:created>
  <dcterms:modified xsi:type="dcterms:W3CDTF">2025-12-16T07:24:09Z</dcterms:modified>
</cp:coreProperties>
</file>