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3A8" w:rsidRDefault="002E03A8">
      <w:pPr>
        <w:ind w:firstLine="540"/>
        <w:jc w:val="both"/>
      </w:pPr>
      <w:bookmarkStart w:id="0" w:name="_Hlk135163894"/>
    </w:p>
    <w:p w:rsidR="002E03A8" w:rsidRDefault="004D5A03">
      <w:pPr>
        <w:numPr>
          <w:ilvl w:val="0"/>
          <w:numId w:val="1"/>
        </w:numPr>
        <w:jc w:val="center"/>
      </w:pPr>
      <w:r>
        <w:rPr>
          <w:b/>
        </w:rPr>
        <w:t xml:space="preserve">Бумажные медицинские книжки будут выдаваться </w:t>
      </w:r>
      <w:r>
        <w:br/>
      </w:r>
      <w:r>
        <w:rPr>
          <w:b/>
        </w:rPr>
        <w:t xml:space="preserve">до 1 сентября 2026 года </w:t>
      </w:r>
    </w:p>
    <w:p w:rsidR="002E03A8" w:rsidRDefault="004D5A03">
      <w:pPr>
        <w:ind w:firstLine="540"/>
        <w:jc w:val="both"/>
      </w:pPr>
      <w:r>
        <w:t>Минздрав продлил переходный период, в течение которого</w:t>
      </w:r>
      <w:r w:rsidR="00FD72FE">
        <w:t xml:space="preserve"> </w:t>
      </w:r>
      <w:r>
        <w:rPr>
          <w:u w:color="000000"/>
        </w:rPr>
        <w:t>разрешено выдавать</w:t>
      </w:r>
      <w:r w:rsidR="00FD72FE">
        <w:rPr>
          <w:u w:color="000000"/>
        </w:rPr>
        <w:t xml:space="preserve"> </w:t>
      </w:r>
      <w:r>
        <w:t>и вести медкнижки на бумаге. Документ вступает в силу 31 августа.</w:t>
      </w:r>
    </w:p>
    <w:p w:rsidR="002E03A8" w:rsidRDefault="004D5A03">
      <w:pPr>
        <w:ind w:firstLine="540"/>
        <w:jc w:val="both"/>
      </w:pPr>
      <w:r>
        <w:t>В Госдуму внесли</w:t>
      </w:r>
      <w:r w:rsidR="00FD72FE">
        <w:t xml:space="preserve"> </w:t>
      </w:r>
      <w:r>
        <w:rPr>
          <w:u w:color="000000"/>
        </w:rPr>
        <w:t>проект</w:t>
      </w:r>
      <w:r>
        <w:t>, которым на уровне закона планируют закрепить, что медосмотр подтверждает только электронная ли</w:t>
      </w:r>
      <w:r>
        <w:t>чная медкнижка, это</w:t>
      </w:r>
      <w:r w:rsidR="00FD72FE">
        <w:t xml:space="preserve"> </w:t>
      </w:r>
      <w:r>
        <w:rPr>
          <w:u w:color="000000"/>
        </w:rPr>
        <w:t>правило</w:t>
      </w:r>
      <w:r w:rsidR="00FD72FE">
        <w:rPr>
          <w:u w:color="000000"/>
        </w:rPr>
        <w:t xml:space="preserve"> </w:t>
      </w:r>
      <w:r>
        <w:t>предложили ввести с 1 апреля 2026 года.</w:t>
      </w:r>
    </w:p>
    <w:p w:rsidR="002E03A8" w:rsidRDefault="002E03A8">
      <w:pPr>
        <w:ind w:firstLine="540"/>
        <w:jc w:val="both"/>
      </w:pPr>
    </w:p>
    <w:p w:rsidR="002E03A8" w:rsidRDefault="004D5A03">
      <w:pPr>
        <w:widowControl/>
        <w:numPr>
          <w:ilvl w:val="0"/>
          <w:numId w:val="1"/>
        </w:numPr>
        <w:jc w:val="center"/>
      </w:pPr>
      <w:r>
        <w:rPr>
          <w:b/>
        </w:rPr>
        <w:t xml:space="preserve">Штрафы за сокрытие, искажение и задержку сведений о несчастных случаях: проект прошел первое чтение </w:t>
      </w:r>
      <w:r>
        <w:br/>
      </w:r>
    </w:p>
    <w:p w:rsidR="002E03A8" w:rsidRDefault="004D5A03">
      <w:pPr>
        <w:widowControl/>
        <w:ind w:firstLine="709"/>
        <w:jc w:val="both"/>
      </w:pPr>
      <w:r>
        <w:t>П</w:t>
      </w:r>
      <w:r>
        <w:t>ланируют скорректировать</w:t>
      </w:r>
      <w:r w:rsidR="00FD72FE">
        <w:t xml:space="preserve"> </w:t>
      </w:r>
      <w:r>
        <w:rPr>
          <w:u w:color="000000"/>
        </w:rPr>
        <w:t>статью 5.27.1 КоАП РФ</w:t>
      </w:r>
      <w:r>
        <w:t xml:space="preserve">о нарушении требований охраны труда. В </w:t>
      </w:r>
      <w:r>
        <w:t>ней планирую закрепить ответственность за сокрытие, умышленное искажение или несвоевременное сообщение в ГИТ и СФР полной и достоверной информации о несчастном случае. За нарушение</w:t>
      </w:r>
      <w:r w:rsidR="00FD72FE">
        <w:t xml:space="preserve"> </w:t>
      </w:r>
      <w:r>
        <w:rPr>
          <w:u w:color="000000"/>
        </w:rPr>
        <w:t>предложили штрафовать</w:t>
      </w:r>
      <w:r>
        <w:t xml:space="preserve">, в частности, должностных лиц и индивидуальным </w:t>
      </w:r>
      <w:r>
        <w:t>предпринимателям на сумму от 20 тыс. до 30 тыс. руб., организации - от 130 тыс. до 150 тыс. руб.</w:t>
      </w:r>
    </w:p>
    <w:p w:rsidR="002E03A8" w:rsidRDefault="004D5A03">
      <w:pPr>
        <w:widowControl/>
        <w:ind w:firstLine="709"/>
        <w:jc w:val="both"/>
      </w:pPr>
      <w:r>
        <w:t>Сейчас в отдельном составе</w:t>
      </w:r>
      <w:r>
        <w:rPr>
          <w:u w:color="000000"/>
        </w:rPr>
        <w:t>предусмотрена ответственность</w:t>
      </w:r>
      <w:r>
        <w:t>за сокрытие страхового случая. Должностным лицам грозит штраф от 500 до 1000 руб., юрлицам - от 5 тыс. д</w:t>
      </w:r>
      <w:r>
        <w:t>о 10 тыс. руб.</w:t>
      </w:r>
    </w:p>
    <w:p w:rsidR="002E03A8" w:rsidRDefault="004D5A03">
      <w:pPr>
        <w:widowControl/>
        <w:ind w:firstLine="709"/>
        <w:jc w:val="both"/>
      </w:pPr>
      <w:r>
        <w:t>Планируется также увеличить штрафы для юрлиц за повторные нарушения требований охраны труда. Они</w:t>
      </w:r>
      <w:r>
        <w:rPr>
          <w:u w:color="000000"/>
        </w:rPr>
        <w:t>могут составить</w:t>
      </w:r>
      <w:r>
        <w:t>от 150 тыс. до 250 тыс. руб. Сейчас организации</w:t>
      </w:r>
      <w:r>
        <w:rPr>
          <w:u w:color="000000"/>
        </w:rPr>
        <w:t>платят</w:t>
      </w:r>
      <w:r>
        <w:t>от 100 тыс. до 200 тыс. руб.</w:t>
      </w:r>
    </w:p>
    <w:p w:rsidR="002E03A8" w:rsidRDefault="002E03A8">
      <w:pPr>
        <w:widowControl/>
        <w:ind w:firstLine="709"/>
        <w:jc w:val="both"/>
      </w:pPr>
    </w:p>
    <w:p w:rsidR="002E03A8" w:rsidRDefault="002E03A8">
      <w:pPr>
        <w:widowControl/>
        <w:ind w:firstLine="709"/>
        <w:jc w:val="both"/>
      </w:pPr>
    </w:p>
    <w:p w:rsidR="002E03A8" w:rsidRDefault="004D5A03">
      <w:pPr>
        <w:widowControl/>
        <w:numPr>
          <w:ilvl w:val="0"/>
          <w:numId w:val="1"/>
        </w:numPr>
        <w:jc w:val="center"/>
      </w:pPr>
      <w:r>
        <w:rPr>
          <w:b/>
        </w:rPr>
        <w:t>Планируются поправки к ТК РФ об увеличении год</w:t>
      </w:r>
      <w:r>
        <w:rPr>
          <w:b/>
        </w:rPr>
        <w:t xml:space="preserve">овой нормы сверхурочной работы прошли первое чтение </w:t>
      </w:r>
      <w:r>
        <w:br/>
      </w:r>
    </w:p>
    <w:p w:rsidR="002E03A8" w:rsidRDefault="004D5A03">
      <w:pPr>
        <w:widowControl/>
        <w:ind w:firstLine="709"/>
        <w:jc w:val="both"/>
      </w:pPr>
      <w:r>
        <w:t>В кодексе планируют</w:t>
      </w:r>
      <w:r>
        <w:rPr>
          <w:u w:color="000000"/>
        </w:rPr>
        <w:t>установить</w:t>
      </w:r>
      <w:r>
        <w:t>, что продолжительность сверхурочной работы для каждого сотрудника можно увеличить со 120 до 240 часов в год, если это зафиксировать в коллективном договоре или отраслевом с</w:t>
      </w:r>
      <w:r>
        <w:t>оглашении. Изменение</w:t>
      </w:r>
      <w:r>
        <w:rPr>
          <w:u w:color="000000"/>
        </w:rPr>
        <w:t>не затронет</w:t>
      </w:r>
      <w:r>
        <w:t>, например, тех, кто работает с вредными условиями труда</w:t>
      </w:r>
      <w:r>
        <w:rPr>
          <w:u w:color="000000"/>
        </w:rPr>
        <w:t>3</w:t>
      </w:r>
      <w:r>
        <w:t>и</w:t>
      </w:r>
      <w:r>
        <w:rPr>
          <w:u w:color="000000"/>
        </w:rPr>
        <w:t>4</w:t>
      </w:r>
      <w:r>
        <w:t>степеней.</w:t>
      </w:r>
    </w:p>
    <w:p w:rsidR="002E03A8" w:rsidRDefault="004D5A03">
      <w:pPr>
        <w:widowControl/>
        <w:ind w:firstLine="709"/>
        <w:jc w:val="both"/>
      </w:pPr>
      <w:r>
        <w:t>Предпенсионеров, пенсионеров и сотрудников с вредными условиями труда</w:t>
      </w:r>
      <w:r>
        <w:rPr>
          <w:u w:color="000000"/>
        </w:rPr>
        <w:t>1</w:t>
      </w:r>
      <w:r>
        <w:t>и</w:t>
      </w:r>
      <w:r>
        <w:rPr>
          <w:u w:color="000000"/>
        </w:rPr>
        <w:t>2</w:t>
      </w:r>
      <w:r>
        <w:t>степеней привлекать к сверхурочной работе свыше 120 ч в год</w:t>
      </w:r>
      <w:r>
        <w:rPr>
          <w:u w:color="000000"/>
        </w:rPr>
        <w:t>предлагается</w:t>
      </w:r>
      <w:r>
        <w:t>только с их п</w:t>
      </w:r>
      <w:r>
        <w:t>исьменного согласия. Такой труд не должен быть запрещен им по медзаключению. По общему правилу их понадобится письменно ознакомить с правом на отказ.</w:t>
      </w:r>
    </w:p>
    <w:p w:rsidR="002E03A8" w:rsidRDefault="004D5A03">
      <w:pPr>
        <w:widowControl/>
        <w:ind w:firstLine="709"/>
        <w:jc w:val="both"/>
      </w:pPr>
      <w:r>
        <w:t>Всем сотрудникам, которых привлекут к сверхурочной работе больше 120 ч в год,</w:t>
      </w:r>
      <w:r>
        <w:rPr>
          <w:u w:color="000000"/>
        </w:rPr>
        <w:t>хотят дать</w:t>
      </w:r>
      <w:r>
        <w:t>право на освобожден</w:t>
      </w:r>
      <w:r>
        <w:t>ие от работы на 1 день в год для диспансеризации. На это время за сотрудником сохранят место и средний заработок.</w:t>
      </w:r>
    </w:p>
    <w:p w:rsidR="002E03A8" w:rsidRDefault="004D5A03">
      <w:pPr>
        <w:widowControl/>
        <w:ind w:firstLine="709"/>
        <w:jc w:val="both"/>
      </w:pPr>
      <w:r>
        <w:t>В пределах 120 ч в год к оплате сверхурочной работы сохранят</w:t>
      </w:r>
      <w:r>
        <w:rPr>
          <w:u w:color="000000"/>
        </w:rPr>
        <w:t>действующий подход</w:t>
      </w:r>
      <w:r>
        <w:t xml:space="preserve">: первые 2 ч выплата не менее чем в полуторном </w:t>
      </w:r>
      <w:r>
        <w:lastRenderedPageBreak/>
        <w:t>размере, последую</w:t>
      </w:r>
      <w:r>
        <w:t>щие часы - не менее чем в двойном. Начиная с 121-го часа предлагают начислять не меньше двойного размера за каждый час. Конкретные значения можно будет определить, например, трудовым договором, локальным нормативным актом. Право работника на дополнительный</w:t>
      </w:r>
      <w:r>
        <w:t xml:space="preserve"> отдых вместо повышенной оплаты (по его желанию) сохранится.</w:t>
      </w:r>
    </w:p>
    <w:p w:rsidR="002E03A8" w:rsidRDefault="004D5A03">
      <w:pPr>
        <w:widowControl/>
        <w:numPr>
          <w:ilvl w:val="0"/>
          <w:numId w:val="1"/>
        </w:numPr>
        <w:jc w:val="center"/>
      </w:pPr>
      <w:r>
        <w:rPr>
          <w:b/>
        </w:rPr>
        <w:t xml:space="preserve">Новый порядок ведения реестра экспертов по СОУТ </w:t>
      </w:r>
      <w:r>
        <w:rPr>
          <w:b/>
        </w:rPr>
        <w:br/>
        <w:t>введут с 1 февраля 2026 года</w:t>
      </w:r>
    </w:p>
    <w:p w:rsidR="002E03A8" w:rsidRDefault="004D5A03">
      <w:pPr>
        <w:widowControl/>
        <w:ind w:firstLine="709"/>
        <w:jc w:val="both"/>
      </w:pPr>
      <w:r>
        <w:t>Минтруд утвердил порядок ведения реестра</w:t>
      </w:r>
      <w:r>
        <w:rPr>
          <w:u w:color="000000"/>
        </w:rPr>
        <w:t>экспертов по спецоценке</w:t>
      </w:r>
      <w:r>
        <w:t>, который заменит</w:t>
      </w:r>
      <w:r>
        <w:rPr>
          <w:u w:color="000000"/>
        </w:rPr>
        <w:t>действующие правила</w:t>
      </w:r>
      <w:r>
        <w:t>. Часть норм приве</w:t>
      </w:r>
      <w:r>
        <w:t>ли в соответствие с</w:t>
      </w:r>
      <w:r>
        <w:rPr>
          <w:u w:color="000000"/>
        </w:rPr>
        <w:t>порядком</w:t>
      </w:r>
      <w:r>
        <w:t>аттестации таких специалистов. Например, уточнили</w:t>
      </w:r>
      <w:r>
        <w:rPr>
          <w:u w:color="000000"/>
        </w:rPr>
        <w:t>срок</w:t>
      </w:r>
      <w:r>
        <w:t>внесения изменений в реестр - 2 рабочих дня с даты получения заявления.</w:t>
      </w:r>
    </w:p>
    <w:p w:rsidR="002E03A8" w:rsidRDefault="004D5A03">
      <w:pPr>
        <w:widowControl/>
        <w:ind w:firstLine="709"/>
        <w:jc w:val="both"/>
      </w:pPr>
      <w:r>
        <w:rPr>
          <w:u w:color="000000"/>
        </w:rPr>
        <w:t>Обновили</w:t>
      </w:r>
      <w:r>
        <w:t xml:space="preserve">также форму электронного сертификата эксперта (выписки из реестра). Такого документа достаточно </w:t>
      </w:r>
      <w:r>
        <w:t>для допуска специалиста к работе.</w:t>
      </w:r>
    </w:p>
    <w:p w:rsidR="002E03A8" w:rsidRDefault="004D5A03">
      <w:pPr>
        <w:widowControl/>
        <w:ind w:firstLine="709"/>
        <w:jc w:val="both"/>
      </w:pPr>
      <w:r>
        <w:t>Новая форма почти не отличается от</w:t>
      </w:r>
      <w:r>
        <w:rPr>
          <w:u w:color="000000"/>
        </w:rPr>
        <w:t>действующей</w:t>
      </w:r>
      <w:r>
        <w:t>. Зафиксировали, что с правой стороны документа</w:t>
      </w:r>
      <w:r>
        <w:rPr>
          <w:u w:color="000000"/>
        </w:rPr>
        <w:t>станут размещать</w:t>
      </w:r>
      <w:r>
        <w:t>двухмерный штрихкод с адресом интернет-страницы с записью в реестре. Сейчас его тоже</w:t>
      </w:r>
      <w:r>
        <w:rPr>
          <w:u w:color="000000"/>
        </w:rPr>
        <w:t>наносят</w:t>
      </w:r>
      <w:r>
        <w:t>на сертификат, но конкр</w:t>
      </w:r>
      <w:r>
        <w:t>етное место для этого не определено.</w:t>
      </w:r>
    </w:p>
    <w:p w:rsidR="002E03A8" w:rsidRDefault="004D5A03">
      <w:pPr>
        <w:widowControl/>
        <w:ind w:firstLine="709"/>
        <w:jc w:val="both"/>
      </w:pPr>
      <w:r>
        <w:t>Сертификатам</w:t>
      </w:r>
      <w:r>
        <w:rPr>
          <w:u w:color="000000"/>
        </w:rPr>
        <w:t>станут присваивать</w:t>
      </w:r>
      <w:r>
        <w:t>номера в продолжение нумерации документов, выданных ранее. Сертификаты, которые сформировали в реестре до вступления в силу нового порядка, будут</w:t>
      </w:r>
      <w:r>
        <w:rPr>
          <w:u w:color="000000"/>
        </w:rPr>
        <w:t>актуальны</w:t>
      </w:r>
      <w:r>
        <w:t>до окончания срока их действия.</w:t>
      </w:r>
    </w:p>
    <w:p w:rsidR="002E03A8" w:rsidRDefault="004D5A03">
      <w:pPr>
        <w:widowControl/>
        <w:numPr>
          <w:ilvl w:val="0"/>
          <w:numId w:val="1"/>
        </w:numPr>
        <w:jc w:val="center"/>
      </w:pPr>
      <w:r>
        <w:rPr>
          <w:b/>
        </w:rPr>
        <w:t>Нов</w:t>
      </w:r>
      <w:r>
        <w:rPr>
          <w:b/>
        </w:rPr>
        <w:t>ые правила медосвидетельствования иностранцев и меры ответственности: 3 проекта внесено в Госдуму</w:t>
      </w:r>
      <w:r>
        <w:t>.</w:t>
      </w:r>
    </w:p>
    <w:p w:rsidR="002E03A8" w:rsidRDefault="004D5A03">
      <w:pPr>
        <w:widowControl/>
        <w:ind w:firstLine="709"/>
        <w:jc w:val="both"/>
      </w:pPr>
      <w:r>
        <w:t xml:space="preserve">С 1 сентября 2026 года депутаты предложили ввести единый срок, </w:t>
      </w:r>
      <w:r>
        <w:br/>
        <w:t xml:space="preserve">в течение которого иностранцы должны пройти медосвидетельствование, - 30 календарных дней со </w:t>
      </w:r>
      <w:r>
        <w:t>дня въезда в РФ. Установят требования</w:t>
      </w:r>
      <w:r>
        <w:br/>
        <w:t>к медорганизациям. Также планируют дополнить</w:t>
      </w:r>
      <w:r>
        <w:rPr>
          <w:u w:color="000000"/>
        </w:rPr>
        <w:t>КоАП</w:t>
      </w:r>
      <w:r>
        <w:t>РФ и</w:t>
      </w:r>
      <w:r>
        <w:rPr>
          <w:u w:color="000000"/>
        </w:rPr>
        <w:t>УК</w:t>
      </w:r>
      <w:r>
        <w:t>РФ. Выделим ряд новшеств.</w:t>
      </w:r>
    </w:p>
    <w:p w:rsidR="002E03A8" w:rsidRDefault="004D5A03">
      <w:pPr>
        <w:widowControl/>
        <w:ind w:firstLine="709"/>
        <w:jc w:val="both"/>
      </w:pPr>
      <w:r>
        <w:t xml:space="preserve">Клиникам, которые проводят медосвидетельствование иностранцев, запретят передавать третьим лицам права и обязанности </w:t>
      </w:r>
      <w:r>
        <w:br/>
        <w:t>по освидетельствован</w:t>
      </w:r>
      <w:r>
        <w:t xml:space="preserve">ию и оформлению медзаключений (новая ст. 4.2 Закона </w:t>
      </w:r>
      <w:r>
        <w:br/>
        <w:t>о правовом положении иностранных граждан, проект N 1120743-8). Они будут обязаны: в течение 24 ч размещать в ЕГИСЗ электронные медзаключения;</w:t>
      </w:r>
      <w:r>
        <w:br/>
        <w:t xml:space="preserve">в течение 3 рабочих дней передавать информацию о заключениях </w:t>
      </w:r>
      <w:r>
        <w:t xml:space="preserve">в МВД </w:t>
      </w:r>
      <w:r>
        <w:br/>
        <w:t>и Роспотребнадзор.</w:t>
      </w:r>
    </w:p>
    <w:p w:rsidR="002E03A8" w:rsidRDefault="004D5A03">
      <w:pPr>
        <w:widowControl/>
        <w:ind w:firstLine="709"/>
        <w:jc w:val="both"/>
      </w:pPr>
      <w:r>
        <w:t>Аналогичные действия придется совершать и другим клиникам, которые проводят осмотры иностранцев или оказывают им медпомощь. Обязанность появится, если выявят опасные инфекционные заболевания (по</w:t>
      </w:r>
      <w:r>
        <w:rPr>
          <w:u w:color="000000"/>
        </w:rPr>
        <w:t>перечню</w:t>
      </w:r>
      <w:r>
        <w:t>Минздрава) и ВИЧ либо факт уп</w:t>
      </w:r>
      <w:r>
        <w:t>отребления наркотических или психотропных веществ без назначения врача. Об этом нужно уведомить физлицо.</w:t>
      </w:r>
    </w:p>
    <w:p w:rsidR="002E03A8" w:rsidRDefault="004D5A03">
      <w:pPr>
        <w:widowControl/>
        <w:ind w:firstLine="709"/>
        <w:jc w:val="both"/>
      </w:pPr>
      <w:r>
        <w:t>Поправки к</w:t>
      </w:r>
      <w:r>
        <w:rPr>
          <w:u w:color="000000"/>
        </w:rPr>
        <w:t>КоАП</w:t>
      </w:r>
      <w:r>
        <w:t xml:space="preserve">РФ предусматривают ответственность за нарушение порядка проведения медосвидетельствования иностранцев (проект N 1120750-8). По новой ст. </w:t>
      </w:r>
      <w:r>
        <w:t>18.21 будут штрафовать клиники на сумму от 300 тыс. до 1 млн руб. или приостанавливать их деятельность на срок от 14 до 90 суток.</w:t>
      </w:r>
    </w:p>
    <w:p w:rsidR="002E03A8" w:rsidRDefault="004D5A03">
      <w:pPr>
        <w:widowControl/>
        <w:ind w:firstLine="709"/>
        <w:jc w:val="both"/>
      </w:pPr>
      <w:r>
        <w:lastRenderedPageBreak/>
        <w:t>В</w:t>
      </w:r>
      <w:r>
        <w:rPr>
          <w:u w:color="000000"/>
        </w:rPr>
        <w:t>УК</w:t>
      </w:r>
      <w:r>
        <w:t xml:space="preserve">РФ предлагают добавить наказание за подделку и оборот поддельных документов об отсутствии опасных заболеваний (проект N 1120757-8). По новой ст. 235.2 максимально грозит до 8 лет лишения свободы </w:t>
      </w:r>
      <w:r>
        <w:br/>
        <w:t>со штрафом до 3 млн руб.</w:t>
      </w:r>
    </w:p>
    <w:p w:rsidR="002E03A8" w:rsidRDefault="004D5A03">
      <w:pPr>
        <w:widowControl/>
        <w:numPr>
          <w:ilvl w:val="0"/>
          <w:numId w:val="1"/>
        </w:numPr>
        <w:jc w:val="center"/>
      </w:pPr>
      <w:r>
        <w:rPr>
          <w:b/>
        </w:rPr>
        <w:t>Временный перевод сотрудников к дру</w:t>
      </w:r>
      <w:r>
        <w:rPr>
          <w:b/>
        </w:rPr>
        <w:t>гому работодателю: правительство определило правила на 2026 год.</w:t>
      </w:r>
    </w:p>
    <w:p w:rsidR="002E03A8" w:rsidRDefault="004D5A03">
      <w:pPr>
        <w:widowControl/>
        <w:ind w:firstLine="709"/>
        <w:jc w:val="both"/>
      </w:pPr>
      <w:r>
        <w:t>Утвердили</w:t>
      </w:r>
      <w:r>
        <w:rPr>
          <w:u w:color="000000"/>
        </w:rPr>
        <w:t>особенности</w:t>
      </w:r>
      <w:r>
        <w:t>регулирования трудовых и иных непосредственно связанных с ними отношений в 2026 году. В документе есть, в частности, правила</w:t>
      </w:r>
      <w:r>
        <w:rPr>
          <w:u w:color="000000"/>
        </w:rPr>
        <w:t>временного перевода</w:t>
      </w:r>
      <w:r>
        <w:t>сотрудников к другому работо</w:t>
      </w:r>
      <w:r>
        <w:t>дателю.</w:t>
      </w:r>
      <w:r>
        <w:br/>
        <w:t>От</w:t>
      </w:r>
      <w:r>
        <w:rPr>
          <w:u w:color="000000"/>
        </w:rPr>
        <w:t>действующих</w:t>
      </w:r>
      <w:r>
        <w:t>они почти не отличаются.</w:t>
      </w:r>
    </w:p>
    <w:p w:rsidR="002E03A8" w:rsidRDefault="004D5A03">
      <w:pPr>
        <w:widowControl/>
        <w:ind w:firstLine="709"/>
        <w:jc w:val="both"/>
      </w:pPr>
      <w:r>
        <w:t>Работодатели, которые приостановили деятельность, как и сейчас, смогут перевести специалистов с их согласия в другие организации по направлению центра занятости. Для этого нужно письменное согласие сотрудников.</w:t>
      </w:r>
      <w:r>
        <w:t xml:space="preserve"> Временные работодатели заключают с ними срочные трудовые договоры, которые допустимо продлевать, пока действуют правила, т.е. не позднее чем</w:t>
      </w:r>
      <w:r>
        <w:rPr>
          <w:u w:color="000000"/>
        </w:rPr>
        <w:t>до 1 января 2027 года</w:t>
      </w:r>
      <w:r>
        <w:t>.</w:t>
      </w:r>
    </w:p>
    <w:bookmarkEnd w:id="0"/>
    <w:p w:rsidR="002E03A8" w:rsidRDefault="002E03A8">
      <w:pPr>
        <w:ind w:firstLine="720"/>
        <w:jc w:val="both"/>
      </w:pPr>
    </w:p>
    <w:sectPr w:rsidR="002E03A8" w:rsidSect="002E03A8">
      <w:headerReference w:type="default" r:id="rId7"/>
      <w:footerReference w:type="first" r:id="rId8"/>
      <w:pgSz w:w="11906" w:h="16838"/>
      <w:pgMar w:top="284" w:right="567" w:bottom="426" w:left="1701" w:header="680" w:footer="516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5A03" w:rsidRDefault="004D5A03" w:rsidP="002E03A8">
      <w:r>
        <w:separator/>
      </w:r>
    </w:p>
  </w:endnote>
  <w:endnote w:type="continuationSeparator" w:id="1">
    <w:p w:rsidR="004D5A03" w:rsidRDefault="004D5A03" w:rsidP="002E03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2"/>
      <w:tblpPr w:leftFromText="113" w:rightFromText="113" w:horzAnchor="margin" w:tblpYSpec="bottom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4A0"/>
    </w:tblPr>
    <w:tblGrid>
      <w:gridCol w:w="6237"/>
      <w:gridCol w:w="3401"/>
    </w:tblGrid>
    <w:tr w:rsidR="002E03A8">
      <w:trPr>
        <w:trHeight w:val="552"/>
      </w:trPr>
      <w:tc>
        <w:tcPr>
          <w:tcW w:w="6237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:rsidR="002E03A8" w:rsidRDefault="002E03A8">
          <w:pPr>
            <w:spacing w:line="240" w:lineRule="exact"/>
            <w:rPr>
              <w:sz w:val="22"/>
            </w:rPr>
          </w:pPr>
        </w:p>
      </w:tc>
      <w:tc>
        <w:tcPr>
          <w:tcW w:w="3401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auto"/>
          <w:tcMar>
            <w:left w:w="0" w:type="dxa"/>
            <w:right w:w="0" w:type="dxa"/>
          </w:tcMar>
          <w:vAlign w:val="center"/>
        </w:tcPr>
        <w:p w:rsidR="002E03A8" w:rsidRDefault="002E03A8">
          <w:pPr>
            <w:rPr>
              <w:sz w:val="18"/>
            </w:rPr>
          </w:pPr>
        </w:p>
      </w:tc>
    </w:tr>
    <w:tr w:rsidR="002E03A8">
      <w:trPr>
        <w:trHeight w:val="552"/>
      </w:trPr>
      <w:tc>
        <w:tcPr>
          <w:tcW w:w="6237" w:type="dxa"/>
          <w:tcBorders>
            <w:top w:val="nil"/>
            <w:left w:val="nil"/>
            <w:bottom w:val="nil"/>
            <w:right w:val="single" w:sz="4" w:space="0" w:color="000000"/>
          </w:tcBorders>
          <w:tcMar>
            <w:left w:w="0" w:type="dxa"/>
            <w:right w:w="0" w:type="dxa"/>
          </w:tcMar>
        </w:tcPr>
        <w:p w:rsidR="002E03A8" w:rsidRDefault="002E03A8">
          <w:pPr>
            <w:spacing w:line="240" w:lineRule="exact"/>
            <w:rPr>
              <w:sz w:val="22"/>
            </w:rPr>
          </w:pPr>
        </w:p>
      </w:tc>
      <w:tc>
        <w:tcPr>
          <w:tcW w:w="34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left w:w="0" w:type="dxa"/>
            <w:right w:w="0" w:type="dxa"/>
          </w:tcMar>
          <w:vAlign w:val="center"/>
        </w:tcPr>
        <w:p w:rsidR="002E03A8" w:rsidRDefault="004D5A03">
          <w:pPr>
            <w:jc w:val="center"/>
            <w:rPr>
              <w:sz w:val="18"/>
            </w:rPr>
          </w:pPr>
          <w:r>
            <w:rPr>
              <w:sz w:val="18"/>
            </w:rPr>
            <w:t>Прокуратура Мокшанского района Пензенской области</w:t>
          </w:r>
        </w:p>
        <w:p w:rsidR="002E03A8" w:rsidRDefault="004D5A03">
          <w:pPr>
            <w:rPr>
              <w:sz w:val="18"/>
            </w:rPr>
          </w:pPr>
          <w:r>
            <w:rPr>
              <w:sz w:val="18"/>
            </w:rPr>
            <w:t>№</w:t>
          </w:r>
          <w:bookmarkStart w:id="1" w:name="REGNUMSTAMP"/>
          <w:r>
            <w:rPr>
              <w:sz w:val="18"/>
            </w:rPr>
            <w:t>ШтампРегномер</w:t>
          </w:r>
          <w:bookmarkEnd w:id="1"/>
        </w:p>
      </w:tc>
    </w:tr>
  </w:tbl>
  <w:p w:rsidR="002E03A8" w:rsidRDefault="002E03A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5A03" w:rsidRDefault="004D5A03" w:rsidP="002E03A8">
      <w:r>
        <w:separator/>
      </w:r>
    </w:p>
  </w:footnote>
  <w:footnote w:type="continuationSeparator" w:id="1">
    <w:p w:rsidR="004D5A03" w:rsidRDefault="004D5A03" w:rsidP="002E03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3A8" w:rsidRDefault="002E03A8">
    <w:pPr>
      <w:pStyle w:val="af0"/>
      <w:jc w:val="center"/>
    </w:pPr>
    <w:r>
      <w:fldChar w:fldCharType="begin"/>
    </w:r>
    <w:r w:rsidR="004D5A03">
      <w:instrText xml:space="preserve">PAGE </w:instrText>
    </w:r>
    <w:r w:rsidR="00FD72FE">
      <w:fldChar w:fldCharType="separate"/>
    </w:r>
    <w:r w:rsidR="00FD72FE">
      <w:rPr>
        <w:noProof/>
      </w:rPr>
      <w:t>2</w:t>
    </w:r>
    <w:r>
      <w:fldChar w:fldCharType="end"/>
    </w:r>
  </w:p>
  <w:p w:rsidR="002E03A8" w:rsidRDefault="002E03A8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D79B4"/>
    <w:multiLevelType w:val="multilevel"/>
    <w:tmpl w:val="4020755A"/>
    <w:lvl w:ilvl="0">
      <w:start w:val="1"/>
      <w:numFmt w:val="decimal"/>
      <w:lvlText w:val="%1."/>
      <w:lvlJc w:val="left"/>
      <w:pPr>
        <w:widowControl w:val="0"/>
        <w:ind w:left="720" w:hanging="36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36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36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03A8"/>
    <w:rsid w:val="002E03A8"/>
    <w:rsid w:val="004D5A03"/>
    <w:rsid w:val="00FD7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E03A8"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rsid w:val="002E03A8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E03A8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E03A8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E03A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E03A8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E03A8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2E03A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E03A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E03A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E03A8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E03A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E03A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E03A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E03A8"/>
    <w:rPr>
      <w:rFonts w:ascii="XO Thames" w:hAnsi="XO Thames"/>
      <w:sz w:val="28"/>
    </w:rPr>
  </w:style>
  <w:style w:type="paragraph" w:customStyle="1" w:styleId="UnresolvedMention">
    <w:name w:val="Unresolved Mention"/>
    <w:basedOn w:val="12"/>
    <w:link w:val="UnresolvedMention0"/>
    <w:rsid w:val="002E03A8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sid w:val="002E03A8"/>
    <w:rPr>
      <w:color w:val="605E5C"/>
      <w:shd w:val="clear" w:color="auto" w:fill="E1DFDD"/>
    </w:rPr>
  </w:style>
  <w:style w:type="paragraph" w:customStyle="1" w:styleId="Endnote">
    <w:name w:val="Endnote"/>
    <w:link w:val="Endnote0"/>
    <w:rsid w:val="002E03A8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2E03A8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2E03A8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2E03A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E03A8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2E03A8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2E03A8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sid w:val="002E03A8"/>
    <w:rPr>
      <w:color w:val="0563C1" w:themeColor="hyperlink"/>
      <w:u w:val="single"/>
    </w:rPr>
  </w:style>
  <w:style w:type="character" w:styleId="a3">
    <w:name w:val="Hyperlink"/>
    <w:basedOn w:val="a0"/>
    <w:link w:val="13"/>
    <w:rsid w:val="002E03A8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2E03A8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2E03A8"/>
    <w:rPr>
      <w:rFonts w:ascii="XO Thames" w:hAnsi="XO Thames"/>
      <w:sz w:val="22"/>
    </w:rPr>
  </w:style>
  <w:style w:type="paragraph" w:customStyle="1" w:styleId="12">
    <w:name w:val="Основной шрифт абзаца1"/>
    <w:link w:val="14"/>
    <w:rsid w:val="002E03A8"/>
  </w:style>
  <w:style w:type="paragraph" w:styleId="14">
    <w:name w:val="toc 1"/>
    <w:next w:val="a"/>
    <w:link w:val="15"/>
    <w:uiPriority w:val="39"/>
    <w:rsid w:val="002E03A8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2E03A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E03A8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E03A8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2E03A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E03A8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E03A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E03A8"/>
    <w:rPr>
      <w:rFonts w:ascii="XO Thames" w:hAnsi="XO Thames"/>
      <w:sz w:val="28"/>
    </w:rPr>
  </w:style>
  <w:style w:type="paragraph" w:styleId="a4">
    <w:name w:val="footer"/>
    <w:basedOn w:val="a"/>
    <w:link w:val="a5"/>
    <w:rsid w:val="002E03A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1"/>
    <w:link w:val="a4"/>
    <w:rsid w:val="002E03A8"/>
  </w:style>
  <w:style w:type="paragraph" w:styleId="51">
    <w:name w:val="toc 5"/>
    <w:next w:val="a"/>
    <w:link w:val="52"/>
    <w:uiPriority w:val="39"/>
    <w:rsid w:val="002E03A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E03A8"/>
    <w:rPr>
      <w:rFonts w:ascii="XO Thames" w:hAnsi="XO Thames"/>
      <w:sz w:val="28"/>
    </w:rPr>
  </w:style>
  <w:style w:type="paragraph" w:styleId="a6">
    <w:name w:val="Normal (Web)"/>
    <w:basedOn w:val="a"/>
    <w:link w:val="a7"/>
    <w:rsid w:val="002E03A8"/>
    <w:pPr>
      <w:spacing w:beforeAutospacing="1" w:afterAutospacing="1"/>
    </w:pPr>
    <w:rPr>
      <w:sz w:val="24"/>
    </w:rPr>
  </w:style>
  <w:style w:type="character" w:customStyle="1" w:styleId="a7">
    <w:name w:val="Обычный (веб) Знак"/>
    <w:basedOn w:val="1"/>
    <w:link w:val="a6"/>
    <w:rsid w:val="002E03A8"/>
    <w:rPr>
      <w:sz w:val="24"/>
    </w:rPr>
  </w:style>
  <w:style w:type="paragraph" w:styleId="a8">
    <w:name w:val="Balloon Text"/>
    <w:basedOn w:val="a"/>
    <w:link w:val="a9"/>
    <w:rsid w:val="002E03A8"/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sid w:val="002E03A8"/>
    <w:rPr>
      <w:rFonts w:ascii="Segoe UI" w:hAnsi="Segoe UI"/>
      <w:sz w:val="18"/>
    </w:rPr>
  </w:style>
  <w:style w:type="paragraph" w:styleId="aa">
    <w:name w:val="List Paragraph"/>
    <w:basedOn w:val="a"/>
    <w:link w:val="ab"/>
    <w:rsid w:val="002E03A8"/>
    <w:pPr>
      <w:ind w:left="720"/>
      <w:contextualSpacing/>
    </w:pPr>
  </w:style>
  <w:style w:type="character" w:customStyle="1" w:styleId="ab">
    <w:name w:val="Абзац списка Знак"/>
    <w:basedOn w:val="1"/>
    <w:link w:val="aa"/>
    <w:rsid w:val="002E03A8"/>
  </w:style>
  <w:style w:type="paragraph" w:styleId="ac">
    <w:name w:val="Subtitle"/>
    <w:next w:val="a"/>
    <w:link w:val="ad"/>
    <w:uiPriority w:val="11"/>
    <w:qFormat/>
    <w:rsid w:val="002E03A8"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sid w:val="002E03A8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rsid w:val="002E03A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sid w:val="002E03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E03A8"/>
    <w:rPr>
      <w:rFonts w:ascii="XO Thames" w:hAnsi="XO Thames"/>
      <w:b/>
      <w:sz w:val="24"/>
    </w:rPr>
  </w:style>
  <w:style w:type="paragraph" w:styleId="af0">
    <w:name w:val="header"/>
    <w:basedOn w:val="a"/>
    <w:link w:val="af1"/>
    <w:rsid w:val="002E03A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1"/>
    <w:link w:val="af0"/>
    <w:rsid w:val="002E03A8"/>
  </w:style>
  <w:style w:type="character" w:customStyle="1" w:styleId="20">
    <w:name w:val="Заголовок 2 Знак"/>
    <w:link w:val="2"/>
    <w:rsid w:val="002E03A8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rsid w:val="002E03A8"/>
    <w:pPr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2E03A8"/>
    <w:rPr>
      <w:rFonts w:ascii="Arial" w:hAnsi="Arial"/>
      <w:sz w:val="20"/>
    </w:rPr>
  </w:style>
  <w:style w:type="table" w:styleId="af2">
    <w:name w:val="Table Grid"/>
    <w:basedOn w:val="a1"/>
    <w:rsid w:val="002E03A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 светлая1"/>
    <w:basedOn w:val="a1"/>
    <w:rsid w:val="002E03A8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895</Words>
  <Characters>5105</Characters>
  <Application>Microsoft Office Word</Application>
  <DocSecurity>0</DocSecurity>
  <Lines>42</Lines>
  <Paragraphs>11</Paragraphs>
  <ScaleCrop>false</ScaleCrop>
  <Company>Microsoft</Company>
  <LinksUpToDate>false</LinksUpToDate>
  <CharactersWithSpaces>5989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2025-10-21T15:35:00Z</dcterms:created>
  <dcterms:modified xsi:type="dcterms:W3CDTF">2026-02-26T10:58:00Z</dcterms:modified>
</cp:coreProperties>
</file>