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7112E0">
      <w:pPr>
        <w:jc w:val="center"/>
        <w:rPr>
          <w:sz w:val="24"/>
          <w:szCs w:val="24"/>
        </w:rPr>
      </w:pPr>
      <w:r>
        <w:rPr>
          <w:b/>
          <w:sz w:val="36"/>
          <w:szCs w:val="36"/>
          <w:lang w:eastAsia="ru-RU"/>
        </w:rPr>
        <w:drawing>
          <wp:inline distT="0" distB="0" distL="0" distR="0">
            <wp:extent cx="581025" cy="80010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81025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C157007">
      <w:pPr>
        <w:jc w:val="center"/>
        <w:rPr>
          <w:sz w:val="24"/>
          <w:szCs w:val="24"/>
        </w:rPr>
      </w:pPr>
    </w:p>
    <w:tbl>
      <w:tblPr>
        <w:tblStyle w:val="4"/>
        <w:tblpPr w:leftFromText="180" w:rightFromText="180" w:vertAnchor="text" w:horzAnchor="margin" w:tblpY="42"/>
        <w:tblW w:w="9606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606"/>
      </w:tblGrid>
      <w:tr w14:paraId="41B2381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606" w:type="dxa"/>
          </w:tcPr>
          <w:p w14:paraId="25BA4B84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АДМИНИСТРАЦИЯ </w:t>
            </w:r>
            <w:r>
              <w:rPr>
                <w:b/>
                <w:sz w:val="32"/>
                <w:szCs w:val="32"/>
                <w:lang w:val="ru-RU"/>
              </w:rPr>
              <w:t>ЧЕРНОЗЕРСКОГО</w:t>
            </w:r>
            <w:r>
              <w:rPr>
                <w:rFonts w:hint="default"/>
                <w:b/>
                <w:sz w:val="32"/>
                <w:szCs w:val="32"/>
                <w:lang w:val="ru-RU"/>
              </w:rPr>
              <w:t xml:space="preserve"> </w:t>
            </w:r>
            <w:r>
              <w:rPr>
                <w:b/>
                <w:sz w:val="32"/>
                <w:szCs w:val="32"/>
              </w:rPr>
              <w:t xml:space="preserve"> СЕЛЬСОВЕТА МОКШАНСКОГО РАЙОНА ПЕНЗЕНСКОЙ ОБЛАСТИ</w:t>
            </w:r>
          </w:p>
        </w:tc>
      </w:tr>
      <w:tr w14:paraId="002443B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4" w:hRule="exact"/>
        </w:trPr>
        <w:tc>
          <w:tcPr>
            <w:tcW w:w="9606" w:type="dxa"/>
            <w:vAlign w:val="center"/>
          </w:tcPr>
          <w:p w14:paraId="5B5F28C3">
            <w:pPr>
              <w:pStyle w:val="2"/>
              <w:rPr>
                <w:bCs/>
                <w:sz w:val="28"/>
                <w:szCs w:val="28"/>
              </w:rPr>
            </w:pPr>
            <w:r>
              <w:rPr>
                <w:sz w:val="32"/>
                <w:szCs w:val="32"/>
              </w:rPr>
              <w:t xml:space="preserve">      </w:t>
            </w:r>
            <w:r>
              <w:rPr>
                <w:sz w:val="28"/>
                <w:szCs w:val="28"/>
              </w:rPr>
              <w:t>ПОСТАНОВЛЕНИЕ</w:t>
            </w:r>
          </w:p>
        </w:tc>
      </w:tr>
      <w:tr w14:paraId="20F380F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" w:hRule="exact"/>
        </w:trPr>
        <w:tc>
          <w:tcPr>
            <w:tcW w:w="9606" w:type="dxa"/>
            <w:vAlign w:val="center"/>
          </w:tcPr>
          <w:p w14:paraId="7AC3E448">
            <w:pPr>
              <w:pStyle w:val="2"/>
              <w:rPr>
                <w:bCs/>
              </w:rPr>
            </w:pPr>
          </w:p>
        </w:tc>
      </w:tr>
    </w:tbl>
    <w:p w14:paraId="6051F75A">
      <w:pPr>
        <w:jc w:val="center"/>
        <w:rPr>
          <w:sz w:val="24"/>
          <w:szCs w:val="24"/>
          <w:u w:val="single"/>
        </w:rPr>
      </w:pPr>
    </w:p>
    <w:p w14:paraId="08A4D1A9">
      <w:pPr>
        <w:jc w:val="center"/>
        <w:rPr>
          <w:sz w:val="24"/>
          <w:szCs w:val="24"/>
          <w:u w:val="single"/>
        </w:rPr>
      </w:pPr>
    </w:p>
    <w:p w14:paraId="10C1B67E">
      <w:pPr>
        <w:jc w:val="center"/>
        <w:rPr>
          <w:sz w:val="24"/>
          <w:szCs w:val="24"/>
          <w:u w:val="single"/>
        </w:rPr>
      </w:pPr>
    </w:p>
    <w:p w14:paraId="01E469A9">
      <w:pPr>
        <w:jc w:val="center"/>
        <w:rPr>
          <w:sz w:val="24"/>
          <w:szCs w:val="24"/>
          <w:u w:val="single"/>
        </w:rPr>
      </w:pPr>
    </w:p>
    <w:p w14:paraId="5C1DBE78">
      <w:pPr>
        <w:jc w:val="center"/>
        <w:rPr>
          <w:sz w:val="24"/>
          <w:szCs w:val="24"/>
          <w:u w:val="single"/>
        </w:rPr>
      </w:pPr>
    </w:p>
    <w:p w14:paraId="5A48F7AC">
      <w:pPr>
        <w:jc w:val="center"/>
        <w:rPr>
          <w:sz w:val="24"/>
          <w:szCs w:val="24"/>
          <w:u w:val="single"/>
        </w:rPr>
      </w:pPr>
    </w:p>
    <w:p w14:paraId="1A1B28E8">
      <w:pPr>
        <w:jc w:val="center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 xml:space="preserve">от </w:t>
      </w:r>
      <w:r>
        <w:rPr>
          <w:rFonts w:hint="default"/>
          <w:sz w:val="24"/>
          <w:szCs w:val="24"/>
          <w:u w:val="single"/>
          <w:lang w:val="ru-RU"/>
        </w:rPr>
        <w:t>19</w:t>
      </w:r>
      <w:r>
        <w:rPr>
          <w:sz w:val="24"/>
          <w:szCs w:val="24"/>
          <w:u w:val="single"/>
        </w:rPr>
        <w:t>.1</w:t>
      </w:r>
      <w:r>
        <w:rPr>
          <w:rFonts w:hint="default"/>
          <w:sz w:val="24"/>
          <w:szCs w:val="24"/>
          <w:u w:val="single"/>
          <w:lang w:val="ru-RU"/>
        </w:rPr>
        <w:t>2</w:t>
      </w:r>
      <w:r>
        <w:rPr>
          <w:sz w:val="24"/>
          <w:szCs w:val="24"/>
          <w:u w:val="single"/>
        </w:rPr>
        <w:t xml:space="preserve">.2025 №  </w:t>
      </w:r>
      <w:r>
        <w:rPr>
          <w:rFonts w:hint="default"/>
          <w:sz w:val="24"/>
          <w:szCs w:val="24"/>
          <w:u w:val="single"/>
          <w:lang w:val="ru-RU"/>
        </w:rPr>
        <w:t>68</w:t>
      </w:r>
      <w:r>
        <w:rPr>
          <w:sz w:val="24"/>
          <w:szCs w:val="24"/>
          <w:u w:val="single"/>
        </w:rPr>
        <w:t xml:space="preserve"> </w:t>
      </w:r>
    </w:p>
    <w:p w14:paraId="68D939D9">
      <w:pPr>
        <w:jc w:val="center"/>
        <w:rPr>
          <w:rFonts w:hint="default"/>
          <w:sz w:val="24"/>
          <w:szCs w:val="24"/>
          <w:lang w:val="ru-RU"/>
        </w:rPr>
      </w:pPr>
      <w:r>
        <w:rPr>
          <w:sz w:val="24"/>
          <w:szCs w:val="24"/>
        </w:rPr>
        <w:t xml:space="preserve">с. </w:t>
      </w:r>
      <w:r>
        <w:rPr>
          <w:sz w:val="24"/>
          <w:szCs w:val="24"/>
          <w:lang w:val="ru-RU"/>
        </w:rPr>
        <w:t>Чернозерье</w:t>
      </w:r>
    </w:p>
    <w:p w14:paraId="0D3B754B">
      <w:pPr>
        <w:spacing w:before="210" w:line="237" w:lineRule="auto"/>
        <w:ind w:left="128" w:right="5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О</w:t>
      </w:r>
      <w:r>
        <w:rPr>
          <w:b/>
          <w:spacing w:val="-12"/>
          <w:sz w:val="24"/>
          <w:szCs w:val="24"/>
        </w:rPr>
        <w:t xml:space="preserve"> </w:t>
      </w:r>
      <w:r>
        <w:rPr>
          <w:b/>
          <w:sz w:val="24"/>
          <w:szCs w:val="24"/>
        </w:rPr>
        <w:t>создании</w:t>
      </w:r>
      <w:r>
        <w:rPr>
          <w:b/>
          <w:spacing w:val="-4"/>
          <w:sz w:val="24"/>
          <w:szCs w:val="24"/>
        </w:rPr>
        <w:t xml:space="preserve"> </w:t>
      </w:r>
      <w:r>
        <w:rPr>
          <w:b/>
          <w:sz w:val="24"/>
          <w:szCs w:val="24"/>
        </w:rPr>
        <w:t>комиссии</w:t>
      </w:r>
      <w:r>
        <w:rPr>
          <w:b/>
          <w:spacing w:val="-3"/>
          <w:sz w:val="24"/>
          <w:szCs w:val="24"/>
        </w:rPr>
        <w:t xml:space="preserve"> </w:t>
      </w:r>
      <w:r>
        <w:rPr>
          <w:b/>
          <w:sz w:val="24"/>
          <w:szCs w:val="24"/>
        </w:rPr>
        <w:t>по</w:t>
      </w:r>
      <w:r>
        <w:rPr>
          <w:b/>
          <w:spacing w:val="-12"/>
          <w:sz w:val="24"/>
          <w:szCs w:val="24"/>
        </w:rPr>
        <w:t xml:space="preserve"> </w:t>
      </w:r>
      <w:r>
        <w:rPr>
          <w:b/>
          <w:sz w:val="24"/>
          <w:szCs w:val="24"/>
        </w:rPr>
        <w:t>увековечению памяти защитников Отечества, в том числе погибших (умерших) участников специальной военно</w:t>
      </w:r>
      <w:r>
        <w:rPr>
          <w:b/>
          <w:sz w:val="24"/>
          <w:szCs w:val="24"/>
          <w:lang w:val="ru-RU"/>
        </w:rPr>
        <w:t>й</w:t>
      </w:r>
      <w:r>
        <w:rPr>
          <w:b/>
          <w:sz w:val="24"/>
          <w:szCs w:val="24"/>
        </w:rPr>
        <w:t xml:space="preserve"> операции</w:t>
      </w:r>
      <w:bookmarkStart w:id="0" w:name="_GoBack"/>
      <w:bookmarkEnd w:id="0"/>
    </w:p>
    <w:p w14:paraId="34DE2531">
      <w:pPr>
        <w:pStyle w:val="6"/>
        <w:ind w:left="83" w:right="9" w:firstLine="488"/>
        <w:rPr>
          <w:sz w:val="24"/>
          <w:szCs w:val="24"/>
        </w:rPr>
      </w:pPr>
    </w:p>
    <w:p w14:paraId="6C532074">
      <w:pPr>
        <w:pStyle w:val="6"/>
        <w:ind w:left="83" w:right="9" w:firstLine="488"/>
        <w:rPr>
          <w:sz w:val="26"/>
          <w:szCs w:val="26"/>
        </w:rPr>
      </w:pPr>
      <w:r>
        <w:rPr>
          <w:sz w:val="26"/>
          <w:szCs w:val="26"/>
        </w:rPr>
        <w:t>В соответствии с Едиными рекомендациями по увековечению памяти защитников Отечества, утвержденными</w:t>
      </w:r>
      <w:r>
        <w:rPr>
          <w:rFonts w:hint="default"/>
          <w:sz w:val="26"/>
          <w:szCs w:val="26"/>
          <w:lang w:val="ru-RU"/>
        </w:rPr>
        <w:t xml:space="preserve"> </w:t>
      </w:r>
      <w:r>
        <w:rPr>
          <w:sz w:val="26"/>
          <w:szCs w:val="26"/>
        </w:rPr>
        <w:t xml:space="preserve"> Правительством Российской Федерации</w:t>
      </w:r>
      <w:r>
        <w:rPr>
          <w:spacing w:val="-12"/>
          <w:sz w:val="26"/>
          <w:szCs w:val="26"/>
        </w:rPr>
        <w:t xml:space="preserve"> </w:t>
      </w:r>
      <w:r>
        <w:rPr>
          <w:sz w:val="26"/>
          <w:szCs w:val="26"/>
        </w:rPr>
        <w:t>30.08.2025</w:t>
      </w:r>
      <w:r>
        <w:rPr>
          <w:spacing w:val="-12"/>
          <w:sz w:val="26"/>
          <w:szCs w:val="26"/>
        </w:rPr>
        <w:t xml:space="preserve"> </w:t>
      </w:r>
      <w:r>
        <w:rPr>
          <w:sz w:val="26"/>
          <w:szCs w:val="26"/>
        </w:rPr>
        <w:t>№</w:t>
      </w:r>
      <w:r>
        <w:rPr>
          <w:spacing w:val="-12"/>
          <w:sz w:val="26"/>
          <w:szCs w:val="26"/>
        </w:rPr>
        <w:t xml:space="preserve"> </w:t>
      </w:r>
      <w:r>
        <w:rPr>
          <w:sz w:val="26"/>
          <w:szCs w:val="26"/>
        </w:rPr>
        <w:t>МД-П4-32257,</w:t>
      </w:r>
      <w:r>
        <w:rPr>
          <w:spacing w:val="-8"/>
          <w:sz w:val="26"/>
          <w:szCs w:val="26"/>
        </w:rPr>
        <w:t xml:space="preserve"> </w:t>
      </w:r>
      <w:r>
        <w:rPr>
          <w:sz w:val="26"/>
          <w:szCs w:val="26"/>
        </w:rPr>
        <w:t>руководствуясь</w:t>
      </w:r>
      <w:r>
        <w:rPr>
          <w:spacing w:val="-12"/>
          <w:sz w:val="26"/>
          <w:szCs w:val="26"/>
        </w:rPr>
        <w:t xml:space="preserve"> </w:t>
      </w:r>
      <w:r>
        <w:rPr>
          <w:sz w:val="26"/>
          <w:szCs w:val="26"/>
        </w:rPr>
        <w:t xml:space="preserve">Уставом сельского поселения </w:t>
      </w:r>
      <w:r>
        <w:rPr>
          <w:sz w:val="26"/>
          <w:szCs w:val="26"/>
          <w:lang w:val="ru-RU"/>
        </w:rPr>
        <w:t>Чернозерский</w:t>
      </w:r>
      <w:r>
        <w:rPr>
          <w:sz w:val="26"/>
          <w:szCs w:val="26"/>
        </w:rPr>
        <w:t xml:space="preserve"> сельсовет  муниципального района Мокшанский район Пензенской области,</w:t>
      </w:r>
    </w:p>
    <w:p w14:paraId="20BD0BAC">
      <w:pPr>
        <w:pStyle w:val="6"/>
        <w:ind w:left="83" w:right="9" w:firstLine="488"/>
        <w:rPr>
          <w:sz w:val="26"/>
          <w:szCs w:val="26"/>
        </w:rPr>
      </w:pPr>
    </w:p>
    <w:p w14:paraId="45906FFF">
      <w:pPr>
        <w:pStyle w:val="6"/>
        <w:ind w:left="83" w:right="9" w:firstLine="488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Администрация </w:t>
      </w:r>
      <w:r>
        <w:rPr>
          <w:sz w:val="26"/>
          <w:szCs w:val="26"/>
          <w:lang w:val="ru-RU"/>
        </w:rPr>
        <w:t>Чернозерского</w:t>
      </w:r>
      <w:r>
        <w:rPr>
          <w:rFonts w:hint="default"/>
          <w:sz w:val="26"/>
          <w:szCs w:val="26"/>
          <w:lang w:val="ru-RU"/>
        </w:rPr>
        <w:t xml:space="preserve"> </w:t>
      </w:r>
      <w:r>
        <w:rPr>
          <w:sz w:val="26"/>
          <w:szCs w:val="26"/>
        </w:rPr>
        <w:t xml:space="preserve"> сельсовета Мокшанского района Пензенской области постановляет:</w:t>
      </w:r>
    </w:p>
    <w:p w14:paraId="131B8863">
      <w:pPr>
        <w:tabs>
          <w:tab w:val="left" w:pos="859"/>
        </w:tabs>
        <w:spacing w:before="211"/>
        <w:ind w:left="-206"/>
        <w:rPr>
          <w:sz w:val="26"/>
          <w:szCs w:val="26"/>
        </w:rPr>
      </w:pPr>
      <w:r>
        <w:rPr>
          <w:sz w:val="26"/>
          <w:szCs w:val="26"/>
        </w:rPr>
        <w:t xml:space="preserve">       1.Создать комиссию по увековечению памяти защитников Отечества, в том числе погибших (умерших) участников специальной военной</w:t>
      </w:r>
      <w:r>
        <w:rPr>
          <w:spacing w:val="-4"/>
          <w:sz w:val="26"/>
          <w:szCs w:val="26"/>
        </w:rPr>
        <w:t xml:space="preserve"> </w:t>
      </w:r>
      <w:r>
        <w:rPr>
          <w:sz w:val="26"/>
          <w:szCs w:val="26"/>
        </w:rPr>
        <w:t>операции</w:t>
      </w:r>
      <w:r>
        <w:rPr>
          <w:spacing w:val="-6"/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>
        <w:rPr>
          <w:spacing w:val="-7"/>
          <w:sz w:val="26"/>
          <w:szCs w:val="26"/>
        </w:rPr>
        <w:t xml:space="preserve"> </w:t>
      </w:r>
      <w:r>
        <w:rPr>
          <w:sz w:val="26"/>
          <w:szCs w:val="26"/>
        </w:rPr>
        <w:t>утвердить</w:t>
      </w:r>
      <w:r>
        <w:rPr>
          <w:spacing w:val="-8"/>
          <w:sz w:val="26"/>
          <w:szCs w:val="26"/>
        </w:rPr>
        <w:t xml:space="preserve"> </w:t>
      </w:r>
      <w:r>
        <w:rPr>
          <w:sz w:val="26"/>
          <w:szCs w:val="26"/>
        </w:rPr>
        <w:t>ее</w:t>
      </w:r>
      <w:r>
        <w:rPr>
          <w:spacing w:val="-12"/>
          <w:sz w:val="26"/>
          <w:szCs w:val="26"/>
        </w:rPr>
        <w:t xml:space="preserve"> </w:t>
      </w:r>
      <w:r>
        <w:rPr>
          <w:sz w:val="26"/>
          <w:szCs w:val="26"/>
        </w:rPr>
        <w:t>состав</w:t>
      </w:r>
      <w:r>
        <w:rPr>
          <w:spacing w:val="-6"/>
          <w:sz w:val="26"/>
          <w:szCs w:val="26"/>
        </w:rPr>
        <w:t xml:space="preserve"> </w:t>
      </w:r>
      <w:r>
        <w:rPr>
          <w:sz w:val="26"/>
          <w:szCs w:val="26"/>
        </w:rPr>
        <w:t>согласно</w:t>
      </w:r>
      <w:r>
        <w:rPr>
          <w:spacing w:val="-5"/>
          <w:sz w:val="26"/>
          <w:szCs w:val="26"/>
        </w:rPr>
        <w:t xml:space="preserve"> </w:t>
      </w:r>
      <w:r>
        <w:rPr>
          <w:sz w:val="26"/>
          <w:szCs w:val="26"/>
        </w:rPr>
        <w:t>приложению 1 к настоящему</w:t>
      </w:r>
      <w:r>
        <w:rPr>
          <w:spacing w:val="40"/>
          <w:sz w:val="26"/>
          <w:szCs w:val="26"/>
        </w:rPr>
        <w:t xml:space="preserve"> </w:t>
      </w:r>
      <w:r>
        <w:rPr>
          <w:sz w:val="26"/>
          <w:szCs w:val="26"/>
        </w:rPr>
        <w:t>постановлению.</w:t>
      </w:r>
    </w:p>
    <w:p w14:paraId="373D196A">
      <w:pPr>
        <w:tabs>
          <w:tab w:val="left" w:pos="863"/>
        </w:tabs>
        <w:ind w:left="-206" w:right="3"/>
        <w:rPr>
          <w:sz w:val="26"/>
          <w:szCs w:val="26"/>
        </w:rPr>
      </w:pPr>
      <w:r>
        <w:rPr>
          <w:sz w:val="26"/>
          <w:szCs w:val="26"/>
        </w:rPr>
        <w:t xml:space="preserve">        2.Утвердить Положение о комиссии по увековечению памяти</w:t>
      </w:r>
      <w:r>
        <w:rPr>
          <w:spacing w:val="-2"/>
          <w:sz w:val="26"/>
          <w:szCs w:val="26"/>
        </w:rPr>
        <w:t xml:space="preserve"> </w:t>
      </w:r>
      <w:r>
        <w:rPr>
          <w:sz w:val="26"/>
          <w:szCs w:val="26"/>
        </w:rPr>
        <w:t>защитников Отечества,</w:t>
      </w:r>
      <w:r>
        <w:rPr>
          <w:spacing w:val="-7"/>
          <w:sz w:val="26"/>
          <w:szCs w:val="26"/>
        </w:rPr>
        <w:t xml:space="preserve"> </w:t>
      </w:r>
      <w:r>
        <w:rPr>
          <w:sz w:val="26"/>
          <w:szCs w:val="26"/>
        </w:rPr>
        <w:t>в</w:t>
      </w:r>
      <w:r>
        <w:rPr>
          <w:spacing w:val="-12"/>
          <w:sz w:val="26"/>
          <w:szCs w:val="26"/>
        </w:rPr>
        <w:t xml:space="preserve"> </w:t>
      </w:r>
      <w:r>
        <w:rPr>
          <w:sz w:val="26"/>
          <w:szCs w:val="26"/>
        </w:rPr>
        <w:t>том числе</w:t>
      </w:r>
      <w:r>
        <w:rPr>
          <w:spacing w:val="-5"/>
          <w:sz w:val="26"/>
          <w:szCs w:val="26"/>
        </w:rPr>
        <w:t xml:space="preserve"> </w:t>
      </w:r>
      <w:r>
        <w:rPr>
          <w:sz w:val="26"/>
          <w:szCs w:val="26"/>
        </w:rPr>
        <w:t xml:space="preserve">погибших (умерших) участников специальной военной операции согласно приложению </w:t>
      </w:r>
      <w:r>
        <w:rPr>
          <w:color w:val="111111"/>
          <w:sz w:val="26"/>
          <w:szCs w:val="26"/>
        </w:rPr>
        <w:t xml:space="preserve">2 </w:t>
      </w:r>
      <w:r>
        <w:rPr>
          <w:sz w:val="26"/>
          <w:szCs w:val="26"/>
        </w:rPr>
        <w:t>к настоящему</w:t>
      </w:r>
      <w:r>
        <w:rPr>
          <w:spacing w:val="40"/>
          <w:sz w:val="26"/>
          <w:szCs w:val="26"/>
        </w:rPr>
        <w:t xml:space="preserve"> </w:t>
      </w:r>
      <w:r>
        <w:rPr>
          <w:sz w:val="26"/>
          <w:szCs w:val="26"/>
        </w:rPr>
        <w:t>постановлению.</w:t>
      </w:r>
    </w:p>
    <w:p w14:paraId="14879903">
      <w:pPr>
        <w:tabs>
          <w:tab w:val="left" w:pos="864"/>
        </w:tabs>
        <w:ind w:left="-142" w:right="1" w:firstLine="426"/>
        <w:rPr>
          <w:sz w:val="26"/>
          <w:szCs w:val="26"/>
        </w:rPr>
      </w:pPr>
      <w:r>
        <w:rPr>
          <w:sz w:val="26"/>
          <w:szCs w:val="26"/>
        </w:rPr>
        <w:t xml:space="preserve">3. Опубликовать настоящее постановление в информационном бюллетене «Вести </w:t>
      </w:r>
      <w:r>
        <w:rPr>
          <w:sz w:val="26"/>
          <w:szCs w:val="26"/>
          <w:lang w:val="ru-RU"/>
        </w:rPr>
        <w:t>Чернозерского</w:t>
      </w:r>
      <w:r>
        <w:rPr>
          <w:rFonts w:hint="default"/>
          <w:sz w:val="26"/>
          <w:szCs w:val="26"/>
          <w:lang w:val="ru-RU"/>
        </w:rPr>
        <w:t xml:space="preserve"> </w:t>
      </w:r>
      <w:r>
        <w:rPr>
          <w:sz w:val="26"/>
          <w:szCs w:val="26"/>
        </w:rPr>
        <w:t xml:space="preserve"> сельсовета».</w:t>
      </w:r>
    </w:p>
    <w:p w14:paraId="2C575C28">
      <w:pPr>
        <w:tabs>
          <w:tab w:val="left" w:pos="864"/>
        </w:tabs>
        <w:ind w:right="1"/>
        <w:jc w:val="both"/>
        <w:rPr>
          <w:sz w:val="26"/>
          <w:szCs w:val="26"/>
        </w:rPr>
      </w:pPr>
    </w:p>
    <w:p w14:paraId="6BA53CFA">
      <w:pPr>
        <w:tabs>
          <w:tab w:val="left" w:pos="864"/>
        </w:tabs>
        <w:ind w:right="1"/>
        <w:jc w:val="both"/>
        <w:rPr>
          <w:sz w:val="26"/>
          <w:szCs w:val="26"/>
        </w:rPr>
      </w:pPr>
      <w:r>
        <w:rPr>
          <w:sz w:val="26"/>
          <w:szCs w:val="26"/>
        </w:rPr>
        <w:t>И.о главы администрации</w:t>
      </w:r>
    </w:p>
    <w:p w14:paraId="2C0E9D0D">
      <w:pPr>
        <w:tabs>
          <w:tab w:val="left" w:pos="864"/>
        </w:tabs>
        <w:ind w:right="1"/>
        <w:jc w:val="both"/>
        <w:rPr>
          <w:sz w:val="26"/>
          <w:szCs w:val="26"/>
        </w:rPr>
      </w:pPr>
      <w:r>
        <w:rPr>
          <w:sz w:val="26"/>
          <w:szCs w:val="26"/>
          <w:lang w:val="ru-RU"/>
        </w:rPr>
        <w:t>Чернозерского</w:t>
      </w:r>
      <w:r>
        <w:rPr>
          <w:rFonts w:hint="default"/>
          <w:sz w:val="26"/>
          <w:szCs w:val="26"/>
          <w:lang w:val="ru-RU"/>
        </w:rPr>
        <w:t xml:space="preserve"> </w:t>
      </w:r>
      <w:r>
        <w:rPr>
          <w:sz w:val="26"/>
          <w:szCs w:val="26"/>
        </w:rPr>
        <w:t>сельсовета</w:t>
      </w:r>
    </w:p>
    <w:p w14:paraId="7AD1B7B3">
      <w:pPr>
        <w:tabs>
          <w:tab w:val="left" w:pos="864"/>
        </w:tabs>
        <w:ind w:right="1"/>
        <w:jc w:val="both"/>
        <w:rPr>
          <w:sz w:val="26"/>
          <w:szCs w:val="26"/>
        </w:rPr>
      </w:pPr>
      <w:r>
        <w:rPr>
          <w:sz w:val="26"/>
          <w:szCs w:val="26"/>
        </w:rPr>
        <w:t>Мокшанского района</w:t>
      </w:r>
    </w:p>
    <w:p w14:paraId="34D0CF9D">
      <w:pPr>
        <w:tabs>
          <w:tab w:val="left" w:pos="864"/>
          <w:tab w:val="left" w:pos="6218"/>
        </w:tabs>
        <w:ind w:right="1"/>
        <w:jc w:val="both"/>
        <w:rPr>
          <w:rFonts w:hint="default"/>
          <w:sz w:val="26"/>
          <w:szCs w:val="26"/>
          <w:lang w:val="ru-RU"/>
        </w:rPr>
      </w:pPr>
      <w:r>
        <w:rPr>
          <w:sz w:val="26"/>
          <w:szCs w:val="26"/>
        </w:rPr>
        <w:t>Пензенской области</w:t>
      </w:r>
      <w:r>
        <w:rPr>
          <w:sz w:val="26"/>
          <w:szCs w:val="26"/>
        </w:rPr>
        <w:tab/>
      </w:r>
      <w:r>
        <w:rPr>
          <w:sz w:val="26"/>
          <w:szCs w:val="26"/>
        </w:rPr>
        <w:t xml:space="preserve">                                 </w:t>
      </w:r>
      <w:r>
        <w:rPr>
          <w:sz w:val="26"/>
          <w:szCs w:val="26"/>
          <w:lang w:val="ru-RU"/>
        </w:rPr>
        <w:t>С</w:t>
      </w:r>
      <w:r>
        <w:rPr>
          <w:rFonts w:hint="default"/>
          <w:sz w:val="26"/>
          <w:szCs w:val="26"/>
          <w:lang w:val="ru-RU"/>
        </w:rPr>
        <w:t>.В.Зезелев</w:t>
      </w:r>
    </w:p>
    <w:p w14:paraId="11B0E4EB">
      <w:pPr>
        <w:rPr>
          <w:sz w:val="26"/>
          <w:szCs w:val="26"/>
        </w:rPr>
      </w:pPr>
    </w:p>
    <w:p w14:paraId="093C039A">
      <w:pPr>
        <w:rPr>
          <w:sz w:val="24"/>
          <w:szCs w:val="24"/>
        </w:rPr>
      </w:pPr>
    </w:p>
    <w:p w14:paraId="4EED444A">
      <w:pPr>
        <w:rPr>
          <w:sz w:val="24"/>
          <w:szCs w:val="24"/>
        </w:rPr>
      </w:pPr>
    </w:p>
    <w:p w14:paraId="58198141">
      <w:pPr>
        <w:rPr>
          <w:sz w:val="24"/>
          <w:szCs w:val="24"/>
        </w:rPr>
      </w:pPr>
    </w:p>
    <w:p w14:paraId="33D3635D">
      <w:pPr>
        <w:rPr>
          <w:sz w:val="24"/>
          <w:szCs w:val="24"/>
        </w:rPr>
      </w:pPr>
    </w:p>
    <w:p w14:paraId="608AB207">
      <w:pPr>
        <w:rPr>
          <w:sz w:val="24"/>
          <w:szCs w:val="24"/>
        </w:rPr>
      </w:pPr>
    </w:p>
    <w:p w14:paraId="67B733DF">
      <w:pPr>
        <w:rPr>
          <w:sz w:val="24"/>
          <w:szCs w:val="24"/>
        </w:rPr>
      </w:pPr>
    </w:p>
    <w:p w14:paraId="11F2B74A">
      <w:pPr>
        <w:rPr>
          <w:sz w:val="24"/>
          <w:szCs w:val="24"/>
        </w:rPr>
      </w:pPr>
    </w:p>
    <w:p w14:paraId="21EF3304">
      <w:pPr>
        <w:rPr>
          <w:sz w:val="24"/>
          <w:szCs w:val="24"/>
        </w:rPr>
      </w:pPr>
    </w:p>
    <w:p w14:paraId="5F4C7E5B">
      <w:pPr>
        <w:rPr>
          <w:sz w:val="24"/>
          <w:szCs w:val="24"/>
        </w:rPr>
      </w:pPr>
      <w:r>
        <w:rPr>
          <w:rStyle w:val="12"/>
          <w:rFonts w:ascii="Arial" w:hAnsi="Arial" w:cs="Arial"/>
          <w:color w:val="262626"/>
          <w:sz w:val="20"/>
          <w:szCs w:val="20"/>
          <w:shd w:val="clear" w:color="auto" w:fill="FFFFFF"/>
        </w:rPr>
        <w:t>Управление социальной защиты населения администрации Мокшанского района</w:t>
      </w:r>
      <w:r>
        <w:rPr>
          <w:rStyle w:val="13"/>
          <w:rFonts w:ascii="Arial" w:hAnsi="Arial" w:cs="Arial"/>
          <w:color w:val="262626"/>
          <w:sz w:val="20"/>
          <w:szCs w:val="20"/>
          <w:shd w:val="clear" w:color="auto" w:fill="FFFFFF"/>
        </w:rPr>
        <w:t>socmokshan@rambler.ru</w:t>
      </w:r>
    </w:p>
    <w:p w14:paraId="654E565B">
      <w:pPr>
        <w:rPr>
          <w:sz w:val="24"/>
          <w:szCs w:val="24"/>
        </w:rPr>
      </w:pPr>
    </w:p>
    <w:p w14:paraId="6CBF1703">
      <w:pPr>
        <w:rPr>
          <w:sz w:val="24"/>
          <w:szCs w:val="24"/>
        </w:rPr>
      </w:pPr>
    </w:p>
    <w:p w14:paraId="45CBDC75">
      <w:pPr>
        <w:rPr>
          <w:sz w:val="24"/>
          <w:szCs w:val="24"/>
        </w:rPr>
      </w:pPr>
    </w:p>
    <w:p w14:paraId="01581106">
      <w:pPr>
        <w:rPr>
          <w:sz w:val="24"/>
          <w:szCs w:val="24"/>
        </w:rPr>
      </w:pPr>
    </w:p>
    <w:p w14:paraId="07D08BB9">
      <w:pPr>
        <w:rPr>
          <w:sz w:val="24"/>
          <w:szCs w:val="24"/>
        </w:rPr>
      </w:pPr>
    </w:p>
    <w:p w14:paraId="72A0DB1C">
      <w:pPr>
        <w:jc w:val="right"/>
        <w:rPr>
          <w:sz w:val="24"/>
          <w:szCs w:val="24"/>
        </w:rPr>
      </w:pPr>
      <w:r>
        <w:rPr>
          <w:sz w:val="24"/>
          <w:szCs w:val="24"/>
        </w:rPr>
        <w:t>Приложение №1</w:t>
      </w:r>
    </w:p>
    <w:p w14:paraId="38D8F441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к постановлению администрации </w:t>
      </w:r>
    </w:p>
    <w:p w14:paraId="21E71737">
      <w:pPr>
        <w:jc w:val="right"/>
        <w:rPr>
          <w:sz w:val="24"/>
          <w:szCs w:val="24"/>
        </w:rPr>
      </w:pPr>
      <w:r>
        <w:rPr>
          <w:sz w:val="24"/>
          <w:szCs w:val="24"/>
          <w:lang w:val="ru-RU"/>
        </w:rPr>
        <w:t>Чернозерского</w:t>
      </w:r>
      <w:r>
        <w:rPr>
          <w:rFonts w:hint="default"/>
          <w:sz w:val="24"/>
          <w:szCs w:val="24"/>
          <w:lang w:val="ru-RU"/>
        </w:rPr>
        <w:t xml:space="preserve"> </w:t>
      </w:r>
      <w:r>
        <w:rPr>
          <w:sz w:val="24"/>
          <w:szCs w:val="24"/>
        </w:rPr>
        <w:t xml:space="preserve"> сельсовета </w:t>
      </w:r>
    </w:p>
    <w:p w14:paraId="6F491CE3">
      <w:pPr>
        <w:jc w:val="right"/>
        <w:rPr>
          <w:sz w:val="24"/>
          <w:szCs w:val="24"/>
        </w:rPr>
      </w:pPr>
      <w:r>
        <w:rPr>
          <w:sz w:val="24"/>
          <w:szCs w:val="24"/>
        </w:rPr>
        <w:t>Мокшанского района Пензенской области</w:t>
      </w:r>
    </w:p>
    <w:p w14:paraId="1604CAA7">
      <w:pPr>
        <w:jc w:val="right"/>
        <w:rPr>
          <w:rFonts w:hint="default"/>
          <w:sz w:val="24"/>
          <w:szCs w:val="24"/>
          <w:lang w:val="ru-RU"/>
        </w:rPr>
      </w:pPr>
      <w:r>
        <w:rPr>
          <w:sz w:val="24"/>
          <w:szCs w:val="24"/>
        </w:rPr>
        <w:t xml:space="preserve">от </w:t>
      </w:r>
      <w:r>
        <w:rPr>
          <w:rFonts w:hint="default"/>
          <w:sz w:val="24"/>
          <w:szCs w:val="24"/>
          <w:lang w:val="ru-RU"/>
        </w:rPr>
        <w:t>19</w:t>
      </w:r>
      <w:r>
        <w:rPr>
          <w:sz w:val="24"/>
          <w:szCs w:val="24"/>
        </w:rPr>
        <w:t>.1</w:t>
      </w:r>
      <w:r>
        <w:rPr>
          <w:rFonts w:hint="default"/>
          <w:sz w:val="24"/>
          <w:szCs w:val="24"/>
          <w:lang w:val="ru-RU"/>
        </w:rPr>
        <w:t>2</w:t>
      </w:r>
      <w:r>
        <w:rPr>
          <w:sz w:val="24"/>
          <w:szCs w:val="24"/>
        </w:rPr>
        <w:t xml:space="preserve">.2025  № </w:t>
      </w:r>
      <w:r>
        <w:rPr>
          <w:rFonts w:hint="default"/>
          <w:sz w:val="24"/>
          <w:szCs w:val="24"/>
          <w:lang w:val="ru-RU"/>
        </w:rPr>
        <w:t>68</w:t>
      </w:r>
    </w:p>
    <w:p w14:paraId="001865CD">
      <w:pPr>
        <w:jc w:val="center"/>
        <w:rPr>
          <w:sz w:val="24"/>
          <w:szCs w:val="24"/>
        </w:rPr>
      </w:pPr>
    </w:p>
    <w:p w14:paraId="150059C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Состав комиссии по увековечению памяти защитников Отечества, в том числе погибших (умерших) участников специальной военной</w:t>
      </w:r>
      <w:r>
        <w:rPr>
          <w:b/>
          <w:spacing w:val="-4"/>
          <w:sz w:val="24"/>
          <w:szCs w:val="24"/>
        </w:rPr>
        <w:t xml:space="preserve"> </w:t>
      </w:r>
      <w:r>
        <w:rPr>
          <w:b/>
          <w:sz w:val="24"/>
          <w:szCs w:val="24"/>
        </w:rPr>
        <w:t>операции</w:t>
      </w:r>
    </w:p>
    <w:p w14:paraId="3DA83D71">
      <w:pPr>
        <w:ind w:firstLine="567"/>
        <w:jc w:val="both"/>
        <w:rPr>
          <w:sz w:val="24"/>
          <w:szCs w:val="24"/>
        </w:rPr>
      </w:pPr>
    </w:p>
    <w:p w14:paraId="78EA0B45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Председатель: </w:t>
      </w:r>
      <w:r>
        <w:rPr>
          <w:sz w:val="24"/>
          <w:szCs w:val="24"/>
          <w:lang w:val="ru-RU"/>
        </w:rPr>
        <w:t>Щеглакова</w:t>
      </w:r>
      <w:r>
        <w:rPr>
          <w:rFonts w:hint="default"/>
          <w:sz w:val="24"/>
          <w:szCs w:val="24"/>
          <w:lang w:val="ru-RU"/>
        </w:rPr>
        <w:t xml:space="preserve"> Е.В</w:t>
      </w:r>
      <w:r>
        <w:rPr>
          <w:sz w:val="24"/>
          <w:szCs w:val="24"/>
        </w:rPr>
        <w:t>, глава</w:t>
      </w:r>
      <w:r>
        <w:rPr>
          <w:rFonts w:hint="default"/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Чернозерского</w:t>
      </w:r>
      <w:r>
        <w:rPr>
          <w:sz w:val="24"/>
          <w:szCs w:val="24"/>
        </w:rPr>
        <w:t xml:space="preserve"> сельсовета Мокшанского района Пензенской области ( по согласованию);</w:t>
      </w:r>
    </w:p>
    <w:p w14:paraId="3BB430F2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Секретарь: </w:t>
      </w:r>
      <w:r>
        <w:rPr>
          <w:sz w:val="24"/>
          <w:szCs w:val="24"/>
          <w:lang w:val="ru-RU"/>
        </w:rPr>
        <w:t>Левина</w:t>
      </w:r>
      <w:r>
        <w:rPr>
          <w:rFonts w:hint="default"/>
          <w:sz w:val="24"/>
          <w:szCs w:val="24"/>
          <w:lang w:val="ru-RU"/>
        </w:rPr>
        <w:t xml:space="preserve"> Светлана Васильевна</w:t>
      </w:r>
      <w:r>
        <w:rPr>
          <w:sz w:val="24"/>
          <w:szCs w:val="24"/>
        </w:rPr>
        <w:t xml:space="preserve">, инспектор ВУС администрации </w:t>
      </w:r>
      <w:r>
        <w:rPr>
          <w:sz w:val="24"/>
          <w:szCs w:val="24"/>
          <w:lang w:val="ru-RU"/>
        </w:rPr>
        <w:t>Чернозерского</w:t>
      </w:r>
      <w:r>
        <w:rPr>
          <w:rFonts w:hint="default"/>
          <w:sz w:val="24"/>
          <w:szCs w:val="24"/>
          <w:lang w:val="ru-RU"/>
        </w:rPr>
        <w:t xml:space="preserve"> </w:t>
      </w:r>
      <w:r>
        <w:rPr>
          <w:sz w:val="24"/>
          <w:szCs w:val="24"/>
        </w:rPr>
        <w:t xml:space="preserve">сельсовета Мокшанского района Пензенской области; </w:t>
      </w:r>
    </w:p>
    <w:p w14:paraId="78B2A329">
      <w:pPr>
        <w:ind w:firstLine="567"/>
        <w:jc w:val="both"/>
        <w:rPr>
          <w:sz w:val="26"/>
          <w:szCs w:val="26"/>
        </w:rPr>
      </w:pPr>
    </w:p>
    <w:p w14:paraId="786D6D11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Члены комиссии:</w:t>
      </w:r>
    </w:p>
    <w:p w14:paraId="1F0D4697">
      <w:pPr>
        <w:jc w:val="both"/>
        <w:rPr>
          <w:sz w:val="24"/>
          <w:szCs w:val="24"/>
        </w:rPr>
      </w:pPr>
      <w:r>
        <w:rPr>
          <w:sz w:val="24"/>
          <w:szCs w:val="24"/>
        </w:rPr>
        <w:t>.Кривозубова Наталья Владимировна</w:t>
      </w:r>
      <w:r>
        <w:rPr>
          <w:rFonts w:hint="default"/>
          <w:sz w:val="24"/>
          <w:szCs w:val="24"/>
          <w:lang w:val="ru-RU"/>
        </w:rPr>
        <w:t xml:space="preserve">, </w:t>
      </w:r>
      <w:r>
        <w:rPr>
          <w:sz w:val="24"/>
          <w:szCs w:val="24"/>
        </w:rPr>
        <w:t xml:space="preserve">депутат Комитета местного самоуправления </w:t>
      </w:r>
      <w:r>
        <w:rPr>
          <w:sz w:val="24"/>
          <w:szCs w:val="24"/>
          <w:lang w:val="ru-RU"/>
        </w:rPr>
        <w:t>Чернозерского</w:t>
      </w:r>
      <w:r>
        <w:rPr>
          <w:sz w:val="24"/>
          <w:szCs w:val="24"/>
        </w:rPr>
        <w:t xml:space="preserve"> сельсовета Мокшанского района Пензенской области от избирательного округа № </w:t>
      </w:r>
      <w:r>
        <w:rPr>
          <w:rFonts w:hint="default"/>
          <w:sz w:val="24"/>
          <w:szCs w:val="24"/>
          <w:lang w:val="ru-RU"/>
        </w:rPr>
        <w:t>9</w:t>
      </w:r>
      <w:r>
        <w:rPr>
          <w:sz w:val="24"/>
          <w:szCs w:val="24"/>
        </w:rPr>
        <w:t>( по согласованию).</w:t>
      </w:r>
    </w:p>
    <w:p w14:paraId="0960E8B0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0C47F4CA">
      <w:pPr>
        <w:jc w:val="center"/>
        <w:rPr>
          <w:sz w:val="24"/>
          <w:szCs w:val="24"/>
        </w:rPr>
      </w:pPr>
    </w:p>
    <w:p w14:paraId="20F23BC8">
      <w:pPr>
        <w:jc w:val="center"/>
        <w:rPr>
          <w:sz w:val="24"/>
          <w:szCs w:val="24"/>
        </w:rPr>
      </w:pPr>
    </w:p>
    <w:p w14:paraId="463C98A6">
      <w:pPr>
        <w:jc w:val="center"/>
        <w:rPr>
          <w:sz w:val="24"/>
          <w:szCs w:val="24"/>
        </w:rPr>
      </w:pPr>
    </w:p>
    <w:p w14:paraId="793C0DF6">
      <w:pPr>
        <w:jc w:val="center"/>
        <w:rPr>
          <w:sz w:val="24"/>
          <w:szCs w:val="24"/>
        </w:rPr>
      </w:pPr>
    </w:p>
    <w:p w14:paraId="43A8AF20">
      <w:pPr>
        <w:jc w:val="center"/>
        <w:rPr>
          <w:sz w:val="24"/>
          <w:szCs w:val="24"/>
        </w:rPr>
      </w:pPr>
    </w:p>
    <w:p w14:paraId="761E57E4">
      <w:pPr>
        <w:jc w:val="center"/>
        <w:rPr>
          <w:sz w:val="24"/>
          <w:szCs w:val="24"/>
        </w:rPr>
      </w:pPr>
    </w:p>
    <w:p w14:paraId="3FD163B3">
      <w:pPr>
        <w:jc w:val="center"/>
        <w:rPr>
          <w:sz w:val="24"/>
          <w:szCs w:val="24"/>
        </w:rPr>
      </w:pPr>
    </w:p>
    <w:p w14:paraId="092BF5F4">
      <w:pPr>
        <w:jc w:val="center"/>
        <w:rPr>
          <w:sz w:val="24"/>
          <w:szCs w:val="24"/>
        </w:rPr>
      </w:pPr>
    </w:p>
    <w:p w14:paraId="245BDB33">
      <w:pPr>
        <w:jc w:val="center"/>
        <w:rPr>
          <w:sz w:val="24"/>
          <w:szCs w:val="24"/>
        </w:rPr>
      </w:pPr>
    </w:p>
    <w:p w14:paraId="0E985ED8">
      <w:pPr>
        <w:jc w:val="center"/>
        <w:rPr>
          <w:sz w:val="24"/>
          <w:szCs w:val="24"/>
        </w:rPr>
      </w:pPr>
    </w:p>
    <w:p w14:paraId="62285BFC">
      <w:pPr>
        <w:jc w:val="center"/>
        <w:rPr>
          <w:sz w:val="24"/>
          <w:szCs w:val="24"/>
        </w:rPr>
      </w:pPr>
    </w:p>
    <w:p w14:paraId="14188EAC">
      <w:pPr>
        <w:jc w:val="center"/>
        <w:rPr>
          <w:sz w:val="24"/>
          <w:szCs w:val="24"/>
        </w:rPr>
      </w:pPr>
    </w:p>
    <w:p w14:paraId="50BEAB18">
      <w:pPr>
        <w:jc w:val="center"/>
        <w:rPr>
          <w:sz w:val="24"/>
          <w:szCs w:val="24"/>
        </w:rPr>
      </w:pPr>
    </w:p>
    <w:p w14:paraId="1DEB9FB0">
      <w:pPr>
        <w:jc w:val="center"/>
        <w:rPr>
          <w:sz w:val="24"/>
          <w:szCs w:val="24"/>
        </w:rPr>
      </w:pPr>
    </w:p>
    <w:p w14:paraId="0D381C62">
      <w:pPr>
        <w:jc w:val="center"/>
        <w:rPr>
          <w:sz w:val="24"/>
          <w:szCs w:val="24"/>
        </w:rPr>
      </w:pPr>
    </w:p>
    <w:p w14:paraId="6DC1B1CB">
      <w:pPr>
        <w:jc w:val="center"/>
        <w:rPr>
          <w:sz w:val="24"/>
          <w:szCs w:val="24"/>
        </w:rPr>
      </w:pPr>
    </w:p>
    <w:p w14:paraId="692A0008">
      <w:pPr>
        <w:jc w:val="center"/>
        <w:rPr>
          <w:sz w:val="24"/>
          <w:szCs w:val="24"/>
        </w:rPr>
      </w:pPr>
    </w:p>
    <w:p w14:paraId="0307C76E">
      <w:pPr>
        <w:jc w:val="center"/>
        <w:rPr>
          <w:sz w:val="24"/>
          <w:szCs w:val="24"/>
        </w:rPr>
      </w:pPr>
    </w:p>
    <w:p w14:paraId="148CCD65">
      <w:pPr>
        <w:jc w:val="center"/>
        <w:rPr>
          <w:sz w:val="24"/>
          <w:szCs w:val="24"/>
        </w:rPr>
      </w:pPr>
    </w:p>
    <w:p w14:paraId="10D2FFB0">
      <w:pPr>
        <w:jc w:val="center"/>
        <w:rPr>
          <w:sz w:val="24"/>
          <w:szCs w:val="24"/>
        </w:rPr>
      </w:pPr>
    </w:p>
    <w:p w14:paraId="1012C6C0">
      <w:pPr>
        <w:jc w:val="center"/>
        <w:rPr>
          <w:sz w:val="24"/>
          <w:szCs w:val="24"/>
        </w:rPr>
      </w:pPr>
    </w:p>
    <w:p w14:paraId="6E1F6567">
      <w:pPr>
        <w:jc w:val="center"/>
        <w:rPr>
          <w:sz w:val="24"/>
          <w:szCs w:val="24"/>
        </w:rPr>
      </w:pPr>
    </w:p>
    <w:p w14:paraId="1497B74D">
      <w:pPr>
        <w:jc w:val="center"/>
        <w:rPr>
          <w:sz w:val="24"/>
          <w:szCs w:val="24"/>
        </w:rPr>
      </w:pPr>
    </w:p>
    <w:p w14:paraId="163CFCD8">
      <w:pPr>
        <w:jc w:val="center"/>
        <w:rPr>
          <w:sz w:val="24"/>
          <w:szCs w:val="24"/>
        </w:rPr>
      </w:pPr>
    </w:p>
    <w:p w14:paraId="069BBC11">
      <w:pPr>
        <w:jc w:val="center"/>
        <w:rPr>
          <w:sz w:val="24"/>
          <w:szCs w:val="24"/>
        </w:rPr>
      </w:pPr>
    </w:p>
    <w:p w14:paraId="77F154E3">
      <w:pPr>
        <w:jc w:val="center"/>
        <w:rPr>
          <w:sz w:val="24"/>
          <w:szCs w:val="24"/>
        </w:rPr>
      </w:pPr>
    </w:p>
    <w:p w14:paraId="606B333A">
      <w:pPr>
        <w:jc w:val="center"/>
        <w:rPr>
          <w:sz w:val="24"/>
          <w:szCs w:val="24"/>
        </w:rPr>
      </w:pPr>
    </w:p>
    <w:p w14:paraId="52367E5D">
      <w:pPr>
        <w:jc w:val="center"/>
        <w:rPr>
          <w:sz w:val="24"/>
          <w:szCs w:val="24"/>
        </w:rPr>
      </w:pPr>
    </w:p>
    <w:p w14:paraId="42709FBB">
      <w:pPr>
        <w:jc w:val="center"/>
        <w:rPr>
          <w:sz w:val="24"/>
          <w:szCs w:val="24"/>
        </w:rPr>
      </w:pPr>
    </w:p>
    <w:p w14:paraId="288129D3">
      <w:pPr>
        <w:jc w:val="center"/>
        <w:rPr>
          <w:sz w:val="24"/>
          <w:szCs w:val="24"/>
        </w:rPr>
      </w:pPr>
    </w:p>
    <w:p w14:paraId="44F3B7CF">
      <w:pPr>
        <w:jc w:val="center"/>
        <w:rPr>
          <w:sz w:val="24"/>
          <w:szCs w:val="24"/>
        </w:rPr>
      </w:pPr>
    </w:p>
    <w:p w14:paraId="74738EDC">
      <w:pPr>
        <w:jc w:val="center"/>
        <w:rPr>
          <w:sz w:val="24"/>
          <w:szCs w:val="24"/>
        </w:rPr>
      </w:pPr>
    </w:p>
    <w:p w14:paraId="44BFE525">
      <w:pPr>
        <w:jc w:val="center"/>
        <w:rPr>
          <w:sz w:val="24"/>
          <w:szCs w:val="24"/>
        </w:rPr>
      </w:pPr>
    </w:p>
    <w:p w14:paraId="79EF61A7">
      <w:pPr>
        <w:jc w:val="right"/>
        <w:rPr>
          <w:sz w:val="24"/>
          <w:szCs w:val="24"/>
        </w:rPr>
      </w:pPr>
    </w:p>
    <w:p w14:paraId="2CA79D57">
      <w:pPr>
        <w:jc w:val="right"/>
        <w:rPr>
          <w:sz w:val="24"/>
          <w:szCs w:val="24"/>
        </w:rPr>
      </w:pPr>
    </w:p>
    <w:p w14:paraId="336B2269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Приложение № 2 </w:t>
      </w:r>
    </w:p>
    <w:p w14:paraId="2865094B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к постановлению администрации </w:t>
      </w:r>
    </w:p>
    <w:p w14:paraId="11A2C503">
      <w:pPr>
        <w:jc w:val="right"/>
        <w:rPr>
          <w:sz w:val="24"/>
          <w:szCs w:val="24"/>
        </w:rPr>
      </w:pPr>
      <w:r>
        <w:rPr>
          <w:sz w:val="24"/>
          <w:szCs w:val="24"/>
          <w:lang w:val="ru-RU"/>
        </w:rPr>
        <w:t>Чернозерского</w:t>
      </w:r>
      <w:r>
        <w:rPr>
          <w:sz w:val="24"/>
          <w:szCs w:val="24"/>
        </w:rPr>
        <w:t xml:space="preserve">  сельсовета </w:t>
      </w:r>
    </w:p>
    <w:p w14:paraId="0EF59A3F">
      <w:pPr>
        <w:jc w:val="right"/>
        <w:rPr>
          <w:sz w:val="24"/>
          <w:szCs w:val="24"/>
        </w:rPr>
      </w:pPr>
      <w:r>
        <w:rPr>
          <w:sz w:val="24"/>
          <w:szCs w:val="24"/>
        </w:rPr>
        <w:t>Мокшанского района Пензенской области</w:t>
      </w:r>
    </w:p>
    <w:p w14:paraId="20A6697A">
      <w:pPr>
        <w:jc w:val="right"/>
        <w:rPr>
          <w:rFonts w:hint="default"/>
          <w:sz w:val="24"/>
          <w:szCs w:val="24"/>
          <w:lang w:val="ru-RU"/>
        </w:rPr>
      </w:pPr>
      <w:r>
        <w:rPr>
          <w:sz w:val="24"/>
          <w:szCs w:val="24"/>
        </w:rPr>
        <w:t xml:space="preserve">от </w:t>
      </w:r>
      <w:r>
        <w:rPr>
          <w:rFonts w:hint="default"/>
          <w:sz w:val="24"/>
          <w:szCs w:val="24"/>
          <w:lang w:val="ru-RU"/>
        </w:rPr>
        <w:t>19</w:t>
      </w:r>
      <w:r>
        <w:rPr>
          <w:sz w:val="24"/>
          <w:szCs w:val="24"/>
        </w:rPr>
        <w:t>.1</w:t>
      </w:r>
      <w:r>
        <w:rPr>
          <w:rFonts w:hint="default"/>
          <w:sz w:val="24"/>
          <w:szCs w:val="24"/>
          <w:lang w:val="ru-RU"/>
        </w:rPr>
        <w:t>2</w:t>
      </w:r>
      <w:r>
        <w:rPr>
          <w:sz w:val="24"/>
          <w:szCs w:val="24"/>
        </w:rPr>
        <w:t xml:space="preserve">.2025 № </w:t>
      </w:r>
      <w:r>
        <w:rPr>
          <w:rFonts w:hint="default"/>
          <w:sz w:val="24"/>
          <w:szCs w:val="24"/>
          <w:lang w:val="ru-RU"/>
        </w:rPr>
        <w:t>68</w:t>
      </w:r>
    </w:p>
    <w:p w14:paraId="4B0525E5">
      <w:pPr>
        <w:jc w:val="center"/>
        <w:rPr>
          <w:sz w:val="26"/>
          <w:szCs w:val="26"/>
        </w:rPr>
      </w:pPr>
    </w:p>
    <w:p w14:paraId="3324DDAB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 Комиссия по увековечению памяти защитников Отечества, в том числе погибших (умерших) участников специальной военной операции (далее — защитники Отечества) (далее — Комиссия) в своей деятельности руководствуется Законом Российской Федерации от 14 января 1993 г. № 4292-1 «Об увековечении памяти погибших при защите Отечества», законодательством Пензенской области, муниципальными правовыми актами </w:t>
      </w:r>
      <w:r>
        <w:rPr>
          <w:sz w:val="26"/>
          <w:szCs w:val="26"/>
          <w:lang w:val="ru-RU"/>
        </w:rPr>
        <w:t>Чернозерского</w:t>
      </w:r>
      <w:r>
        <w:rPr>
          <w:sz w:val="26"/>
          <w:szCs w:val="26"/>
        </w:rPr>
        <w:t xml:space="preserve"> сельсовета Мокшанского района Пензенской области, Едиными рекомендациями по увековечению памяти защитников Отечества, утвержденными Правительством Российской Федерации 30.08.2025 № МД-П4-32257, а также настоящим Положением.</w:t>
      </w:r>
    </w:p>
    <w:p w14:paraId="40EAA66A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2. Комиссия создается с целью организации работы по увековечению памяти защитников Отечества в целях сохранения исторической памяти.</w:t>
      </w:r>
    </w:p>
    <w:p w14:paraId="6BBE9F62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3. Основные формы увековечения памяти защитников Отечества предусматривают, в том числе:</w:t>
      </w:r>
    </w:p>
    <w:p w14:paraId="46608BD9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а) захоронение и перезахоронение останков погибших при защите Отечества, сохранение и благоустройство воинских захоронений, создание, сохранение и благоустройство других мест погребения погибших при защите Отечества, установка надгробий, памятников, стел, обелисков, других мемориальных сооружений и объектов, увековечивающих память погибших;</w:t>
      </w:r>
    </w:p>
    <w:p w14:paraId="27654765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6) сохранение и обустройство отдельных территорий, исторически связанных с подвигами погибших при защите Отечества;</w:t>
      </w:r>
    </w:p>
    <w:p w14:paraId="4A27FAD2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в) проведение поисковой работы, направленной на выявление неизвестных воинских захоронений и непогребенных останков, установление имен погибших и пропавших без вести при защите Отечества, нанесение их имен и других сведений о них в Книги Памяти и соответствующие информационные системы;</w:t>
      </w:r>
    </w:p>
    <w:p w14:paraId="110FC4E6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г) создание мемориальных музеев и сооружение на местах боевых действий памятных знаков;</w:t>
      </w:r>
    </w:p>
    <w:p w14:paraId="4EF3022E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д) публикации в средствах массовой информации и в информационно-телекоммуникационной сети «Интернет» материалов о погибших при защите Отечества, создание произведений искусства и литературы, посвященных их подвигам, организация выставок;</w:t>
      </w:r>
    </w:p>
    <w:p w14:paraId="53C81075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е) присвоение имен погибших при защите Отечества улицам и площадям, географическим  объектам,  организациям,  в  том числе  образовательным организациям, учреждениям;</w:t>
      </w:r>
    </w:p>
    <w:p w14:paraId="26795B99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ж) нанесение имен погибших при защите Отечества навечно в списки личного состава воинских частей, военных профессиональных образовательных организаций и военных образовательных организаций высшего образования;</w:t>
      </w:r>
    </w:p>
    <w:p w14:paraId="3DB29977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з) установление памятных дат, увековечивающих имена погибших при защите Отечества:</w:t>
      </w:r>
    </w:p>
    <w:p w14:paraId="328C4C71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и) создание и ведение Книги Памяти, в том числе электронной.</w:t>
      </w:r>
    </w:p>
    <w:p w14:paraId="03FDEBDE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По решению Комиссии могут осуществляться и другие мероприятия по увековечению памяти защитников Отечества.</w:t>
      </w:r>
    </w:p>
    <w:p w14:paraId="65EC917D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На заседания Комиссии могут приглашаться представители и специалисты из других ведомств и организаций.</w:t>
      </w:r>
    </w:p>
    <w:p w14:paraId="21E3BED0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4.Критерии, являющиеся основаниями для принятия решений об увековечении памяти защитников Отечества:</w:t>
      </w:r>
    </w:p>
    <w:p w14:paraId="09708B36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а) гибель в ходе военных действий, при выполнении других боевых задач или при выполнении служебных обязанностей по защите Отечества;</w:t>
      </w:r>
    </w:p>
    <w:p w14:paraId="3BF9BE44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б) гибель при выполнении воинского долга на территориях других государств;</w:t>
      </w:r>
    </w:p>
    <w:p w14:paraId="138AF8DD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в) смерть, наступившая от ран, контузий, увечий или заболеваний, полученных при защите Отечества, независимо от времени наступления указанных последствий, а также пропажа без вести в ходе военных действий, при выполнении других боевых задач или при выполнении служебных обязанностей;</w:t>
      </w:r>
    </w:p>
    <w:p w14:paraId="46F0FE7E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г) значимость поступка, совершенного защитником Отечества;</w:t>
      </w:r>
    </w:p>
    <w:p w14:paraId="3AF1B8E1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д) наличие заслуг перед Отечеством;</w:t>
      </w:r>
    </w:p>
    <w:p w14:paraId="202EE6DF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е) подтверждение историко-архивными и наградными документами заслуг защитника Отечества перед Российской Федерацией;</w:t>
      </w:r>
    </w:p>
    <w:p w14:paraId="010402BD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ж) гибель, смерть в плену, в котором оказались защитники Отечества в силу сложившейся боевой обстановки, не утратившие своей чести и достоинства не изменившие Родине.</w:t>
      </w:r>
    </w:p>
    <w:p w14:paraId="5E9460C4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Дань памяти воздается и иностранным гражданам, погибшим при защите России. Кроме того, увековечивается память объединений, соединений и учреждений, отличившихся при защите Отечества, а также увековечиваются места боевых действий, вошедшие в историю как символы героизма, мужества и стойкости народов нашего Отечества.</w:t>
      </w:r>
    </w:p>
    <w:p w14:paraId="6C328D84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5. Формы увековечения памяти защитников Отечества осуществляются следующими способами:</w:t>
      </w:r>
    </w:p>
    <w:p w14:paraId="3DB55F45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а) сохранения и благоустройства захоронений, а также обустройства отдельных территорий, исторически связанных с подвигами защитников Отечества (мемориальных зон);</w:t>
      </w:r>
    </w:p>
    <w:p w14:paraId="07748A9C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6) проведения поисковой работы, направленной на выявление неизвестных воинских захоронений и сведений о защитниках Отечества, которую рекомендуется проводить постоянно совместно с органами и организациями, уполномоченными на проведение такой работы; </w:t>
      </w:r>
    </w:p>
    <w:p w14:paraId="1E581D74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в) создания мемориальных сооружений;</w:t>
      </w:r>
    </w:p>
    <w:p w14:paraId="5F9F4B2B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г) создания выставок, экспозиций, посвященных подвигам защитников Отечества в дни праздничных и торжественных мероприятий;</w:t>
      </w:r>
    </w:p>
    <w:p w14:paraId="0D01D869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д) публикации в средствах массой информации, информационно-телекоммуникационной сети "Интернет" материалов о защитниках Отечества, создания произведений искусства и литературы, посвященных их подвигам в форме создания сайтов, электронных Книг Памяти, других информационных ресурсов, создаваемых муниципальными образованиями;</w:t>
      </w:r>
    </w:p>
    <w:p w14:paraId="62009E75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е) присвоения улицам, площадям, образовательным организациям, библиотекам, другим объектам социальной инфраструктуры, географическим объектам, в том числе образовательным организациям, учреждениям имен выдающихся защитников Отечества;</w:t>
      </w:r>
    </w:p>
    <w:p w14:paraId="1DE01EAE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ж) установки памятных знаков и табличек на зданиях и сооружениях, связанных с жизнью и деятельностью защитников Отечества.</w:t>
      </w:r>
    </w:p>
    <w:p w14:paraId="0F2852BE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При этом создание мемориального сооружения в память о погибшем защитнике Отечества рекомендуется осуществлять не ранее чем через 2 года, после свершившегося исторического события или кончины увековечиваемого лица, подтвержденных официальными документами в соответствии с законодательством Российской Федерации.</w:t>
      </w:r>
    </w:p>
    <w:p w14:paraId="3801F0B5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В память о выдающейся личности или событии устанавливается, как правило, только одно мемориальное сооружение.</w:t>
      </w:r>
    </w:p>
    <w:p w14:paraId="5E3C7728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Если память личности уже увековечена в других формах (присвоение имени увековечиваемого лица учреждению, наименование в его честь улицы, сквера, установка памятника, бюста) мемориальные сооружения, как правило, не устанавливаются.</w:t>
      </w:r>
    </w:p>
    <w:p w14:paraId="1C5D6441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На зданиях зрелищно-массового назначения (театров, кинотеатров, музеев, художественных галерей) мемориальные доски не устанавливаются.</w:t>
      </w:r>
    </w:p>
    <w:p w14:paraId="1C7A5E26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6. Перечень документов, представляемых в Комиссию: </w:t>
      </w:r>
    </w:p>
    <w:p w14:paraId="10A8D5B4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а) ходатайство гражданина (организации);</w:t>
      </w:r>
    </w:p>
    <w:p w14:paraId="1FFF2955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6) историческая или историко-биографическая справка об увековечиваемом защитнике Отечества;</w:t>
      </w:r>
    </w:p>
    <w:p w14:paraId="6F055B9C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в) копии</w:t>
      </w:r>
      <w:r>
        <w:rPr>
          <w:sz w:val="26"/>
          <w:szCs w:val="26"/>
        </w:rPr>
        <w:tab/>
      </w:r>
      <w:r>
        <w:rPr>
          <w:sz w:val="26"/>
          <w:szCs w:val="26"/>
        </w:rPr>
        <w:t>архивных, наградных документов, подтверждающих достоверность события или заслуги увековечиваемого лица;</w:t>
      </w:r>
    </w:p>
    <w:p w14:paraId="19F7F124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г) предложение по форме увековечения;</w:t>
      </w:r>
    </w:p>
    <w:p w14:paraId="77044198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д) выписка из домовой книги с указанием периода проживания увековечиваемого лица по месту увековечения;</w:t>
      </w:r>
    </w:p>
    <w:p w14:paraId="63F6F4CA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е) письменное обязательство ходатайствующей организации о финансировании работ;</w:t>
      </w:r>
    </w:p>
    <w:p w14:paraId="6D4262DB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ж) письменное обязательство ходатайствующего гражданина о финансировании работ, либо уведомление о невозможности осуществления финансирования.</w:t>
      </w:r>
    </w:p>
    <w:p w14:paraId="6DFE3862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7. Комиссия, в целях решения возложенных на нее задач, имеет право запрашивать необходимые материалы в иных организациях, проводить необходимые согласования.</w:t>
      </w:r>
    </w:p>
    <w:p w14:paraId="43BFC104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Комиссия созывается по мере необходимости, но не реже одного раза в полугодие, дата проведения заседания определяется ее председателем, а в его отсутствие - заместителем председателя. О дате и времени заседания члены Комиссии, приглашенные лица уведомляются секретарем Комиссии.</w:t>
      </w:r>
    </w:p>
    <w:p w14:paraId="2C81FFC6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8. Результаты работы Комиссии заслушиваются на оперативном совещании у Главы администрации </w:t>
      </w:r>
      <w:r>
        <w:rPr>
          <w:sz w:val="26"/>
          <w:szCs w:val="26"/>
          <w:lang w:val="ru-RU"/>
        </w:rPr>
        <w:t>Чернозерского</w:t>
      </w:r>
      <w:r>
        <w:rPr>
          <w:rFonts w:hint="default"/>
          <w:sz w:val="26"/>
          <w:szCs w:val="26"/>
          <w:lang w:val="ru-RU"/>
        </w:rPr>
        <w:t xml:space="preserve"> </w:t>
      </w:r>
      <w:r>
        <w:rPr>
          <w:sz w:val="26"/>
          <w:szCs w:val="26"/>
        </w:rPr>
        <w:t xml:space="preserve"> сельсовета Мокшанского района Пензенской области.</w:t>
      </w:r>
    </w:p>
    <w:p w14:paraId="5FF5914C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9. Подготовка материалов к заседанию Комиссии, а также организационно-документационное обеспечение (сопровождение) деятельности Комиссии осуществляется администрацией </w:t>
      </w:r>
      <w:r>
        <w:rPr>
          <w:sz w:val="26"/>
          <w:szCs w:val="26"/>
          <w:lang w:val="ru-RU"/>
        </w:rPr>
        <w:t>Чернозерского</w:t>
      </w:r>
      <w:r>
        <w:rPr>
          <w:rFonts w:hint="default"/>
          <w:sz w:val="26"/>
          <w:szCs w:val="26"/>
          <w:lang w:val="ru-RU"/>
        </w:rPr>
        <w:t xml:space="preserve"> </w:t>
      </w:r>
      <w:r>
        <w:rPr>
          <w:sz w:val="26"/>
          <w:szCs w:val="26"/>
        </w:rPr>
        <w:t xml:space="preserve"> сельсовета Мокшанского района Пензенской области.</w:t>
      </w:r>
    </w:p>
    <w:p w14:paraId="3F381440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10. В результате рассмотрения ходатайств Комиссия принимает одно из следующих решений:</w:t>
      </w:r>
    </w:p>
    <w:p w14:paraId="0BCA31B9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а) поддержать ходатайство и определить ответственных должностных лиц за реализацию ходатайства, сроки, порядок проведения работ по увековечению памяти (перечень заинтересованных органов и организаций, участвующих в мероприятиях, определение объема финансово-экономических затрат, выделение финансовых средств, сил для выполнения работ и т.д.);</w:t>
      </w:r>
    </w:p>
    <w:p w14:paraId="1865096D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6) перенести рассмотрение ходатайств на срок, определяемый Комиссией, в связи с необходимостью получения дополнительных сведений и документов или по другим причинам, установленным Комиссией;</w:t>
      </w:r>
    </w:p>
    <w:p w14:paraId="74571A45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в) рекомендовать (предложить) ходатайствующей организации (гражданину) увековечить память события или личности в других формах.</w:t>
      </w:r>
    </w:p>
    <w:p w14:paraId="04EF56E3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11. Ответственное должностное лицо за выполнение принятых решений: </w:t>
      </w:r>
    </w:p>
    <w:p w14:paraId="0961E668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а) организует работу по его реализации;</w:t>
      </w:r>
    </w:p>
    <w:p w14:paraId="3FB685E2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6) контролирует проведение работ;</w:t>
      </w:r>
    </w:p>
    <w:p w14:paraId="165FDF3F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в) устанавливает взаимодействие с заинтересованными организациями и гражданами;</w:t>
      </w:r>
    </w:p>
    <w:p w14:paraId="336D20CD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г) при необходимости по согласованию с главой администрации уточняет порядок выполнения мероприятий и вносит предложения на обсуждение Комиссии;</w:t>
      </w:r>
    </w:p>
    <w:p w14:paraId="2842534F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д) координирует вопросы изготовления в долговечных материалах и установки мемориальных сооружений (мемориальных досок, памятников, бюстов, памятных знаков и т.д.);</w:t>
      </w:r>
    </w:p>
    <w:p w14:paraId="673444BF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е) совместно с главой администрации и заинтересованными организациями осуществляет подготовку и проведение церемоний, торжественных захоронений, открытий мемориальных сооружений или оказывает ходатайствующим организациям (гражданам) помощь в их проведении.</w:t>
      </w:r>
    </w:p>
    <w:p w14:paraId="61A047F5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12. Решение о демонтаже мемориального сооружения, памятного знака, их замене, реконструкции принимается Комиссией по согласованию с органами, организациями, гражданами, инициировавшими их создание (установку).</w:t>
      </w:r>
    </w:p>
    <w:p w14:paraId="035B1A6D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13. Заседание Комиссии считается правомочным, если в нем принимает участие более половины ее членов.</w:t>
      </w:r>
    </w:p>
    <w:p w14:paraId="2D40DD55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pict>
          <v:line id="_x0000_s1028" o:spid="_x0000_s1028" o:spt="20" style="position:absolute;left:0pt;margin-left:539.5pt;margin-top:0.05pt;height:0pt;width:98.9pt;mso-position-horizontal-relative:page;z-index:251659264;mso-width-relative:page;mso-height-relative:page;" stroked="t" coordsize="21600,21600">
            <v:path arrowok="t"/>
            <v:fill focussize="0,0"/>
            <v:stroke weight="0.24pt" color="#705B64"/>
            <v:imagedata o:title=""/>
            <o:lock v:ext="edit"/>
          </v:line>
        </w:pict>
      </w:r>
      <w:r>
        <w:rPr>
          <w:sz w:val="26"/>
          <w:szCs w:val="26"/>
        </w:rPr>
        <w:t>14. Решения Комиссии принимаются открытым голосованием и считаются принятыми, если за них проголосовали более половины присутствующих на заседании   членов  Комиссии.  При  равенстве  голосов  голос председательствующего является решающим.</w:t>
      </w:r>
    </w:p>
    <w:p w14:paraId="655A7276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15. Решения Комиссии оформляются протоколом, который подписывается председательствующим и секретарем Комиссии в течение 5 рабочих дней с даты проведения заседания Комиссии.</w:t>
      </w:r>
    </w:p>
    <w:p w14:paraId="5C1122BA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16. Секретарь Комиссии не позднее 3 рабочих дней со дня заседания направляет копию протокола заседания членам Комиссии и приглашенным участникам</w:t>
      </w:r>
    </w:p>
    <w:p w14:paraId="2FD740D8">
      <w:pPr>
        <w:ind w:firstLine="567"/>
        <w:jc w:val="both"/>
        <w:rPr>
          <w:sz w:val="26"/>
          <w:szCs w:val="26"/>
        </w:rPr>
      </w:pPr>
    </w:p>
    <w:p w14:paraId="7E4B7E6B">
      <w:pPr>
        <w:ind w:firstLine="567"/>
        <w:jc w:val="both"/>
        <w:rPr>
          <w:sz w:val="26"/>
          <w:szCs w:val="26"/>
        </w:rPr>
      </w:pPr>
    </w:p>
    <w:sectPr>
      <w:pgSz w:w="11906" w:h="16838"/>
      <w:pgMar w:top="709" w:right="566" w:bottom="1134" w:left="1134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documentProtection w:enforcement="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</w:compat>
  <w:rsids>
    <w:rsidRoot w:val="006A1C83"/>
    <w:rsid w:val="0002225C"/>
    <w:rsid w:val="001B789F"/>
    <w:rsid w:val="002A15E2"/>
    <w:rsid w:val="002B00DA"/>
    <w:rsid w:val="003104A6"/>
    <w:rsid w:val="003264E5"/>
    <w:rsid w:val="00345044"/>
    <w:rsid w:val="00445ACC"/>
    <w:rsid w:val="004556DE"/>
    <w:rsid w:val="0049142D"/>
    <w:rsid w:val="004978DB"/>
    <w:rsid w:val="005F29CE"/>
    <w:rsid w:val="00611373"/>
    <w:rsid w:val="00647BBA"/>
    <w:rsid w:val="006A1C83"/>
    <w:rsid w:val="006C7AF6"/>
    <w:rsid w:val="007E7757"/>
    <w:rsid w:val="008125FA"/>
    <w:rsid w:val="00846749"/>
    <w:rsid w:val="00855198"/>
    <w:rsid w:val="008838AA"/>
    <w:rsid w:val="00982D23"/>
    <w:rsid w:val="00986DD2"/>
    <w:rsid w:val="00C809D9"/>
    <w:rsid w:val="00CB2B85"/>
    <w:rsid w:val="00CE18E7"/>
    <w:rsid w:val="218702E4"/>
    <w:rsid w:val="351603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nhideWhenUsed="0" w:uiPriority="9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List Paragraph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after="0" w:line="240" w:lineRule="auto"/>
    </w:pPr>
    <w:rPr>
      <w:rFonts w:ascii="Times New Roman" w:hAnsi="Times New Roman" w:eastAsia="Times New Roman" w:cs="Times New Roman"/>
      <w:sz w:val="22"/>
      <w:szCs w:val="22"/>
      <w:lang w:val="ru-RU" w:eastAsia="en-US" w:bidi="ar-SA"/>
    </w:rPr>
  </w:style>
  <w:style w:type="paragraph" w:styleId="2">
    <w:name w:val="heading 3"/>
    <w:basedOn w:val="1"/>
    <w:next w:val="1"/>
    <w:link w:val="10"/>
    <w:qFormat/>
    <w:uiPriority w:val="99"/>
    <w:pPr>
      <w:keepNext/>
      <w:widowControl/>
      <w:autoSpaceDE/>
      <w:autoSpaceDN/>
      <w:jc w:val="center"/>
      <w:outlineLvl w:val="2"/>
    </w:pPr>
    <w:rPr>
      <w:b/>
      <w:sz w:val="40"/>
      <w:szCs w:val="20"/>
      <w:lang w:eastAsia="ru-RU"/>
    </w:rPr>
  </w:style>
  <w:style w:type="character" w:default="1" w:styleId="3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alloon Text"/>
    <w:basedOn w:val="1"/>
    <w:link w:val="11"/>
    <w:semiHidden/>
    <w:unhideWhenUsed/>
    <w:uiPriority w:val="99"/>
    <w:rPr>
      <w:rFonts w:ascii="Tahoma" w:hAnsi="Tahoma" w:cs="Tahoma"/>
      <w:sz w:val="16"/>
      <w:szCs w:val="16"/>
    </w:rPr>
  </w:style>
  <w:style w:type="paragraph" w:styleId="6">
    <w:name w:val="Body Text"/>
    <w:basedOn w:val="1"/>
    <w:link w:val="7"/>
    <w:qFormat/>
    <w:uiPriority w:val="1"/>
    <w:pPr>
      <w:jc w:val="both"/>
    </w:pPr>
    <w:rPr>
      <w:sz w:val="19"/>
      <w:szCs w:val="19"/>
    </w:rPr>
  </w:style>
  <w:style w:type="character" w:customStyle="1" w:styleId="7">
    <w:name w:val="Основной текст Знак"/>
    <w:basedOn w:val="3"/>
    <w:link w:val="6"/>
    <w:qFormat/>
    <w:uiPriority w:val="1"/>
    <w:rPr>
      <w:rFonts w:ascii="Times New Roman" w:hAnsi="Times New Roman" w:eastAsia="Times New Roman" w:cs="Times New Roman"/>
      <w:sz w:val="19"/>
      <w:szCs w:val="19"/>
    </w:rPr>
  </w:style>
  <w:style w:type="paragraph" w:styleId="8">
    <w:name w:val="List Paragraph"/>
    <w:basedOn w:val="1"/>
    <w:qFormat/>
    <w:uiPriority w:val="1"/>
    <w:pPr>
      <w:ind w:left="70" w:firstLine="479"/>
      <w:jc w:val="both"/>
    </w:pPr>
  </w:style>
  <w:style w:type="table" w:customStyle="1" w:styleId="9">
    <w:name w:val="Table Normal"/>
    <w:semiHidden/>
    <w:unhideWhenUsed/>
    <w:qFormat/>
    <w:uiPriority w:val="2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0">
    <w:name w:val="Заголовок 3 Знак"/>
    <w:basedOn w:val="3"/>
    <w:link w:val="2"/>
    <w:qFormat/>
    <w:uiPriority w:val="99"/>
    <w:rPr>
      <w:rFonts w:ascii="Times New Roman" w:hAnsi="Times New Roman" w:eastAsia="Times New Roman" w:cs="Times New Roman"/>
      <w:b/>
      <w:sz w:val="40"/>
      <w:szCs w:val="20"/>
      <w:lang w:eastAsia="ru-RU"/>
    </w:rPr>
  </w:style>
  <w:style w:type="character" w:customStyle="1" w:styleId="11">
    <w:name w:val="Текст выноски Знак"/>
    <w:basedOn w:val="3"/>
    <w:link w:val="5"/>
    <w:semiHidden/>
    <w:qFormat/>
    <w:uiPriority w:val="99"/>
    <w:rPr>
      <w:rFonts w:ascii="Tahoma" w:hAnsi="Tahoma" w:eastAsia="Times New Roman" w:cs="Tahoma"/>
      <w:sz w:val="16"/>
      <w:szCs w:val="16"/>
    </w:rPr>
  </w:style>
  <w:style w:type="character" w:customStyle="1" w:styleId="12">
    <w:name w:val="contactwithdropdown-headername-ui"/>
    <w:basedOn w:val="3"/>
    <w:qFormat/>
    <w:uiPriority w:val="0"/>
  </w:style>
  <w:style w:type="character" w:customStyle="1" w:styleId="13">
    <w:name w:val="contactwithdropdown-headeremail-gi"/>
    <w:basedOn w:val="3"/>
    <w:uiPriority w:val="0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8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SPecialiST RePack</Company>
  <Pages>6</Pages>
  <Words>1826</Words>
  <Characters>10411</Characters>
  <Lines>86</Lines>
  <Paragraphs>24</Paragraphs>
  <TotalTime>13</TotalTime>
  <ScaleCrop>false</ScaleCrop>
  <LinksUpToDate>false</LinksUpToDate>
  <CharactersWithSpaces>12213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2025-09-22T11:40:00Z</dcterms:created>
  <dc:creator>Nadezhda</dc:creator>
  <cp:lastModifiedBy>User</cp:lastModifiedBy>
  <cp:lastPrinted>2025-10-20T08:54:00Z</cp:lastPrinted>
  <dcterms:modified xsi:type="dcterms:W3CDTF">2026-02-09T08:33:50Z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DF5725E53BB841C385C7D064F4107C5D_12</vt:lpwstr>
  </property>
</Properties>
</file>