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E4" w:rsidRPr="00D81570" w:rsidRDefault="007121E4" w:rsidP="007121E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7121E4" w:rsidRDefault="007121E4" w:rsidP="007121E4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7121E4" w:rsidRPr="00826AF4" w:rsidRDefault="007121E4" w:rsidP="007121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7121E4" w:rsidRPr="00826AF4" w:rsidRDefault="00D67292" w:rsidP="007121E4">
      <w:pPr>
        <w:pStyle w:val="a5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</w:t>
      </w:r>
      <w:r w:rsidR="007121E4" w:rsidRPr="00826AF4"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16.06.2026</w:t>
      </w:r>
      <w:r w:rsidR="007121E4" w:rsidRPr="00826AF4">
        <w:rPr>
          <w:b/>
          <w:bCs/>
          <w:color w:val="000000"/>
          <w:sz w:val="28"/>
          <w:szCs w:val="28"/>
        </w:rPr>
        <w:t xml:space="preserve">  №  </w:t>
      </w:r>
      <w:r>
        <w:rPr>
          <w:b/>
          <w:bCs/>
          <w:color w:val="000000"/>
          <w:sz w:val="28"/>
          <w:szCs w:val="28"/>
        </w:rPr>
        <w:t>47</w:t>
      </w:r>
      <w:r w:rsidR="007121E4" w:rsidRPr="00826AF4">
        <w:rPr>
          <w:b/>
          <w:bCs/>
          <w:color w:val="000000"/>
          <w:sz w:val="28"/>
          <w:szCs w:val="28"/>
        </w:rPr>
        <w:t xml:space="preserve">  </w:t>
      </w:r>
    </w:p>
    <w:p w:rsidR="007121E4" w:rsidRPr="00826AF4" w:rsidRDefault="007121E4" w:rsidP="007121E4">
      <w:pPr>
        <w:pStyle w:val="a5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7121E4" w:rsidRPr="0053616C" w:rsidRDefault="007121E4" w:rsidP="007121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2026-2030 годы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121E4" w:rsidRDefault="007121E4" w:rsidP="007121E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="00AD4C72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23</w:t>
        </w:r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.10.2013 № </w:t>
        </w:r>
        <w:r w:rsidR="00AD4C72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159</w:t>
        </w:r>
      </w:hyperlink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 руководствуясь </w:t>
      </w:r>
      <w:hyperlink r:id="rId6" w:tgtFrame="_blank" w:history="1"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sub_5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bookmarkEnd w:id="0"/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муниципальную программу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2026-2030 годы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согласно приложению.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7"/>
      <w:bookmarkEnd w:id="1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следующий день после дня его 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официального опубликования и распространяется на правоотношения, возникшие с 1 января 20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C72" w:rsidRPr="00277C3E" w:rsidRDefault="00AD4C72" w:rsidP="00AD4C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C72" w:rsidRPr="00AD4C72" w:rsidRDefault="00AD4C72" w:rsidP="00AD4C72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И.о. главы администрации </w:t>
      </w:r>
    </w:p>
    <w:p w:rsidR="00AD4C72" w:rsidRPr="00AD4C72" w:rsidRDefault="00AD4C72" w:rsidP="00AD4C72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Чернозерского</w:t>
      </w:r>
      <w:proofErr w:type="spellEnd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</w:t>
      </w:r>
    </w:p>
    <w:p w:rsidR="00AD4C72" w:rsidRPr="00AD4C72" w:rsidRDefault="00AD4C72" w:rsidP="00AD4C72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</w:t>
      </w:r>
    </w:p>
    <w:p w:rsidR="00AD4C72" w:rsidRPr="00D81570" w:rsidRDefault="00AD4C72" w:rsidP="00AD4C72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С.В.Зезелев</w:t>
      </w:r>
      <w:proofErr w:type="spellEnd"/>
    </w:p>
    <w:p w:rsidR="007121E4" w:rsidRPr="007121E4" w:rsidRDefault="007121E4" w:rsidP="007121E4">
      <w:pPr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1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AD4C72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 администрации 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D67292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16.06.2026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proofErr w:type="gramEnd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ернозерье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23"/>
        <w:gridCol w:w="7147"/>
      </w:tblGrid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2026-2030 годы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(далее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-Энергосбережение и повышение энергетической эффективности в бюджетных учреждениях и иных организациях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эффективности использования энергетических ресурсов в жилищном фонде;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эффективности использования энергетических ресурсов в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окращение потерь энергетических ресурсов при их передаче, в том числе в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оснащенности приборами учета используемых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объема внебюджетных средств, используемых на финансирование мероприятий.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обязательных энергетических обследований и паспортизации потребителей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-внедрение энергосберегающих технологий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вовлечение в энергетический баланс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 предусмотрены целевые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1.Оснащенность приборами учета используемых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4.Использование энергетических ресурсов в жилищно-коммунальном хозяйстве;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энергетических ресурсов в промышленности, энергетике и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6.Использование энергетических ресурсов в транспортном комплексе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пр</w:t>
            </w:r>
            <w:r w:rsidR="001C4E4E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составляет 88,0 тысяч рублей,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88,0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 - 88,0 тысяч рублей, в том числе: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88,0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насчитывается 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населенных пункта, в которых постоянно проживает 1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расходов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и, прежде всего, в организациях и органах местного самоуправления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Федерального закона «Об энергосбережении и о повышении энергетической эффективности и внесении изменений в отдель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законодательные акты» в 2024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завершено оснащение приборами учета энергетических ресурсов всех объектов бюджетной сферы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инструментом управления энергосбережением и повышением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разработана в соответствии с Федеральным законом от 23.11.2009 № 261-ФЗ "Об энергосбережении и повышении энергетической эффективности" (далее - Закон № 261-ФЗ), Постановлением Правительства РФ от 11.02.2021 N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приведен в приложении № 1.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Программы: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обязательных энергетических обследований и паспортизации потребителей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счёт реализации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энергосберегающих технологий 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-вовлечение в энергетический баланс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системы контроля и мониторинга за проведением мероприятий энергосбережения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объектах.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3.Сроки и этапы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Общий срок реализации настоящей программы рассчитан на период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годы (в один этап).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4.Основные меры правового регулирования, направленные на достижение целевых показателей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и конечных результатов реализации Программы принятие дополнительных мер правового регулирования не планируется.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5.Ресурсное обеспечение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финансовых, материально-технических, природных,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эффективности. Финансирование мероприятий программы обеспечивается за счет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внебюджетных средств, других, не запрещенных законодательством источников.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 мероприятий за счет средств бюджетов различных уровней может уточняться. Финансирование программы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2030 г.г. будет корректироваться по степени достижения результатов выполнения мероприятий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исполнителей мероприятий и инвестиционных проектов будет осуществляться на конкурсной основе.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мероприятий Программы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- 2030 годах составит 88,0, в том числе по годам: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2030 год - 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бюджетного финансирования реализации Программы может корректироваться решениями Комитета местного самоуправления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 местном бюджете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бюджетным законодательством, исходя из возможностей бюджета района и фактов, влияющих на развитие малого и среднего предпринимательства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Программы за счет всех источников финансирования по годам ее реализации 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 в приложениях № 1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муниципальной программы за счет средств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представлена в 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№ 2-3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мероприятиях муниципальной программы пр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едставлена в приложениях № 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программных мероприятий 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программных мероприяти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определена в приложении № 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устанавливающем плановые задания по видам работ на объектах, включенных в Программу, находящихся в муниципальном ведении,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-Система программных мероприятий и оценка эффективности мероприятий подпрограммы " Энергосбережение и повышение энергетической эффективности в бюджетных учреждениях и иных организациях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" направлена на снижение потерь ресурсов, повышение эффективности используемых объектов коммунальной инфраструктуры и систем жизнеобеспечения населения, повышение качества, надежности предоставления коммунальных услуг населению, а также на обеспечение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-Система программных мероприятий и оценка эффективности мероприятий подпрограммы " 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 направлена на обеспечение эффективного управления объектами систем инфраструктуры, обеспечивающей производство и передачу энергоресурсов, путем регистрации права собственности на объекты недвижимого имущества, используемые для передачи энергоресурсов, расположенные на территории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органах, осуществляющих государственную регистрацию прав на недвижимость и сделок с ней; признание права муниципальной собственности на указанные объекты в судебном порядке.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Программные мероприятия уточняются ежегодно администрацией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6.Анализ рисков реализации муниципальной программы и меры управления рисками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рискам реализации Программы, которыми может управлять ответственный исполнитель и соисполнители программы, уменьшая вероятность их возникновения, следует отнести следующие.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Операционные риски, связанные с ошибками управления реализацией программ, в том числе отдельных их соисполнителей, неготовности организационной инфраструктуры к решению задач, поставленных программами, что может привести к нецелевому и (или) неэффективному использованию бюджетных средств, невыполнению ряда мероприятий программ или задержке в их выполнении. Данный риск может быть оценен как средний, поскольку опыт реализации, аналогичной долгосрочной целевой программы, действовавшей в период 201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годов, показывает возможность управления данным риском.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финансового обеспечения, который связан с финансированием Программы в неполном объеме, как за счет бюджетных, так и внебюджетных источников. Данный риск возникает по причине значительной продолжительности Программы, а также высокой зависимости ее успешной реализации от средств бюджетов муниципальных образований. Учитывая формируемую практику программного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обеспечения реализации мероприятий за счет средств бюджетов муниципальных образований и внебюджетных источников, риск сбоев в реализации программы по причине недофинансирования можно считать умеренным.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который оказал существенное негативное влияние на динамику основных показателей жилищного строительства, ипотечного жилищного кредитования, такой риск для реализации программы может быть качественно оценен как высокий.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бюджетов всех уровней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Пензенской области в целом на преодоление последствий таких катастроф. На качественном уровне такой риск для программы можно оценить как умеренный.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управления рисками реализации Программы основываются на следующих обстоятельствах: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отрицательное влияние из вышеперечисленных рисков на реализацию Программы может оказать реализация операционных рисков, риска возникновения обстоятельств непреодолимой силы, риска ухудшения состояния экономики, которые содержат угрозу срыва реализации Программы. Поскольку в рамках реализации подпрограмм Программы отсутствуют рычаги управления риском возникновения обстоятельств непреодолимой силы, риском ухудшения состояния экономики, наибольшее внимание будет уделяться управлению операционными рисками.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данным риском реализации Программы, которым может управлять ответственный исполнитель и соисполнители Программы, должно соответствовать задачам и полномочиям существующих органов муниципального управления и организаций, задействованных в реализации Программы.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рисками реализации Программы будет осуществляться путем координации деятельности субъектов, участвующих в реализации мероприятий подпрограмм Программы: органов исполнительной власти Пензенской области, администраций муниципальных образований.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7.Оценка планируемой эффективности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планируемой оценки эффективности реализации муниципальной програм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представлен в приложении № 5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планируемой эффективности муниципальной прогр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приведена в приложении № 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8.Оценка эффективности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реализации программы осуществляется в соответствии с Положением об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утвержденной постановлением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hyperlink r:id="rId7" w:tgtFrame="_blank" w:history="1"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4220FF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</w:t>
        </w:r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.10.2013 № </w:t>
        </w:r>
      </w:hyperlink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реализации Программы используются для ее корректировки.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9.Характеристика подпрограмм муниципальной программы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9.1.ПАСПОРТ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бюджетных учреждениях и иных организациях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35"/>
        <w:gridCol w:w="7335"/>
      </w:tblGrid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в бюджетных учреждениях и иных организациях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далее - подпрограмма)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обязательных энергетических обследований и паспортизации потребителей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-внедрение энергосберегающих технологий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-вовлечение в энергетический баланс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5.Доля БУ, финансируемых из бюджета МО, в общем объеме БУ, в отношении которых проведено обязательное энергетическое обследование;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6.Удельная величина потребления энергетических ресурсов муниципальными бюджетными учреждениями: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-электрическая энергия;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-тепловая энергия;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-холодная вода;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-природный газ.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88,0 тыс. руб.,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88,0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4220FF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год: - 88</w:t>
            </w:r>
            <w:r w:rsidR="007121E4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7121E4" w:rsidRPr="0053616C" w:rsidRDefault="007121E4" w:rsidP="007121E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9.1.1.Характеристика сферы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подпрограммы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производство и потребление энергетических ресурсов в бюджетной сфере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в полной мере отвечает современным требованиям энергосбережения. Бюджетные расходы на энергопотребление организаций и учреждений, финансируемых из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бюджетов поселений ежегодно возрастают (в связи с увеличением тарифов на энергоносители, увеличением количества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и т.д.). Объекты бюджетной сферы, как правило, весьма энергоёмки. В связи с этим повышение эффективности потребления энергоресурсов организациями и учреждениями бюджетной сферы является экономически актуальным.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ограниченности бюджетных средств первостепенное значение имеют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расходованием энергоресурсов, а также возможность влиять на количество их потребления. В ходе реализации Федерального закона «Об энергосбережении и о повышении энергетической эффективности и внесении изменений в отдел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 законодательные акты» в 2024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завершено оснащение приборами учета энергетических ресурсов всех объектов бюджетной сферы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7121E4" w:rsidRPr="0053616C" w:rsidRDefault="00A36505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proofErr w:type="gram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</w:t>
      </w:r>
      <w:proofErr w:type="gram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бюджетной сферы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 все учреждения получили Энергетические паспорта. Согласно положениям Федерального закона «Об 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энергосбережении и о повышении энергетической эффективности и внесении изменений в отдельные законодательные акты», необходима организация исполнения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договоров, а так же последующее проведение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энергоаудита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законом сроки.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Существующие здания и сооружения, инженерные коммуникации не отвечают современным требованиям экономии топливно-энергетических ресурсов. Экономия тепла и топлива должна проводиться в нескольких направлениях: это повышение теплозащиты зданий, выработка тепла с наименьшей затратой топлива, применение современных систем и устройств обеспечивающих эффективное действие с наименьшим расходом тепла, эксплуатация потребителей тепла по наиболее экономичному режиму. Решение выше перечисленных проблем невозможно без комплексного подхода к энергосбережению и реализации мероприятий данной программы. Необходимость разработки данной подпрограммы обусловлена также необходимостью разработки мер, направленных на обеспечение снижения потребления топливно-энергетических ресурсов, организациями и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учреждениями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финансируемыми из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сокращения объемов потребления топливно-энергетических ресурсов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9.1.2.Цели и задачи подпрограммы: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мер, направленных на снижение удельного объема используемых топливно-энергетических ресурсов (далее по тексту - ТЭР) при сохранении соответствующего полезного эффекта, возникающего в процессе их потребления;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повышения энергетической эффективности муниципальной экономики и бюджетной сферы;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-переход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обязательных энергетических обследований и паспортизации потребителей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счет реализации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энергосберегающих технологий 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экологических показателей среды обитания, за счет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-вовлечение в энергетический баланс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системы контроля и мониторинга за проведением мероприятий энергосбережения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9.1.3.Сроки и этапы реализации подпрограммы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предусмотрена на период с 2026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2030 годов.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9.1.4.Объём финансовых ресурсов, необходимых для реализации подпрограммы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осуществляется из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привлечением внебюджетных источников. Размеры ассигнований, выделяемых из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настоящей Подпрограммы,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подпрограммы составляет 88,0 тыс. руб., в том числе по источникам финансирования и годам: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88,0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4220FF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2030 год: - 88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бюджетов 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поселений (</w:t>
      </w:r>
      <w:proofErr w:type="spellStart"/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88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рублей».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9.2.ПАСПОРТ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Чернозерский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189"/>
        <w:gridCol w:w="7381"/>
      </w:tblGrid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подпрограмма)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-организации управления объектами, используемыми для передачи энергетических ресурсов,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-осуществление мероприятий по оформлению прав собственности на бесхозяйные объекты, используемые для передачи энергетических ресурсов,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-передача в эксплуатацию специализированным организациям объектов, используемых для передачи энергетических ресурсов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действующим законодательством, от общего количества используемых объектов передачи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42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подпрограммы рассчитан на период 20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0,0 тыс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2030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9.2.1.Характеристика сферы реализации 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на основе эффективного и рационального использования энергетических ресурсов при их производстве, передаче и потреблении энергосберегающий путь развития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возможно при условии передачи в эксплуатацию эффективным специализированным предприятиям объектов, используемых для передачи энергетических ресурсов.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выявлено всего бесхозяйных объектов газораспределения (газового хозяйства): ГРП – 1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;В</w:t>
      </w:r>
      <w:proofErr w:type="spellEnd"/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недостаточностью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до настоящего времени не проведены работы по постановке на учет в Управлении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Пензенской области и признанию прав собственности на бесхозяйные объекты газового хозяйства.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разработки данной подпрограммы обусловлена острой потребностью в разработке мер, направленных на обеспечение эффективного финансирования проведения мероприятий по управлению объектами, используемыми для передачи энергоресурсов.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топливно-энергетических ресурсов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создания условий для привлечения инвестиций и современных технологий в сферу энергосбережения и повышения энергетической эффективности.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9.2.2.Цели и задачи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-организации управления объектами, используемыми для передачи энергетических ресурсов,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-передача в эксплуатацию специализированным организациям объектов, используемых для передачи энергетических ресурсов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9.2.3.Сроки и этапы реализации 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предусмотрена на период с 20</w:t>
      </w:r>
      <w:r w:rsidR="00244D19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2030 годов.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9.2.4.Объём финансовых ресурсов, необходимых для реализации 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Финансирование подпрограммы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осуществляется из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привлечением внебюджетных источников. Размеры ассигнований, выделяемых из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реализацию мероприятий настоящей Подпрограммы,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</w:t>
      </w:r>
      <w:r w:rsidR="00244D19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объём финансирования подпрограммы составит 0,00 тыс.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2030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на 2026-2030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21"/>
        <w:gridCol w:w="3290"/>
        <w:gridCol w:w="1292"/>
        <w:gridCol w:w="799"/>
        <w:gridCol w:w="867"/>
        <w:gridCol w:w="867"/>
        <w:gridCol w:w="867"/>
        <w:gridCol w:w="867"/>
      </w:tblGrid>
      <w:tr w:rsidR="007121E4" w:rsidRPr="0053616C" w:rsidTr="007121E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кВт/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муниципального образования,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кВт/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области» за счет средств бюджета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на 2026-2030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83"/>
        <w:gridCol w:w="1579"/>
        <w:gridCol w:w="1804"/>
        <w:gridCol w:w="1809"/>
        <w:gridCol w:w="891"/>
        <w:gridCol w:w="611"/>
        <w:gridCol w:w="891"/>
        <w:gridCol w:w="891"/>
        <w:gridCol w:w="611"/>
      </w:tblGrid>
      <w:tr w:rsidR="007121E4" w:rsidRPr="0053616C" w:rsidTr="007121E4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2026год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2028год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2029год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Пензенской области за счет федеральных сре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Пензенской области за счет областных сре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 рамках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 в рамках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21E4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за счет всех источников финансирования в разрезе кодов бюджетной классификации на 2026- 2030 годы</w:t>
      </w: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395"/>
        <w:gridCol w:w="1138"/>
        <w:gridCol w:w="1290"/>
        <w:gridCol w:w="1128"/>
        <w:gridCol w:w="534"/>
        <w:gridCol w:w="343"/>
        <w:gridCol w:w="380"/>
        <w:gridCol w:w="402"/>
        <w:gridCol w:w="380"/>
        <w:gridCol w:w="572"/>
        <w:gridCol w:w="572"/>
        <w:gridCol w:w="572"/>
        <w:gridCol w:w="572"/>
        <w:gridCol w:w="572"/>
      </w:tblGrid>
      <w:tr w:rsidR="003E7646" w:rsidTr="003E7646">
        <w:tc>
          <w:tcPr>
            <w:tcW w:w="2838" w:type="dxa"/>
            <w:gridSpan w:val="3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012" w:type="dxa"/>
            <w:gridSpan w:val="11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E7646" w:rsidTr="003E7646">
        <w:tc>
          <w:tcPr>
            <w:tcW w:w="398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4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96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</w:t>
            </w:r>
          </w:p>
        </w:tc>
        <w:tc>
          <w:tcPr>
            <w:tcW w:w="1105" w:type="dxa"/>
            <w:vMerge w:val="restart"/>
          </w:tcPr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соисполнитель,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подпрограммы, ДЦП</w:t>
            </w:r>
          </w:p>
        </w:tc>
        <w:tc>
          <w:tcPr>
            <w:tcW w:w="2042" w:type="dxa"/>
            <w:gridSpan w:val="5"/>
          </w:tcPr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865" w:type="dxa"/>
            <w:gridSpan w:val="5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тыс. рублей</w:t>
            </w:r>
          </w:p>
        </w:tc>
      </w:tr>
      <w:tr w:rsidR="003E7646" w:rsidTr="003E7646">
        <w:tc>
          <w:tcPr>
            <w:tcW w:w="398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44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380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40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380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2030г.</w:t>
            </w:r>
          </w:p>
        </w:tc>
      </w:tr>
      <w:tr w:rsidR="003E7646" w:rsidTr="003E7646">
        <w:tc>
          <w:tcPr>
            <w:tcW w:w="398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E7646" w:rsidTr="003E7646">
        <w:trPr>
          <w:trHeight w:val="485"/>
        </w:trPr>
        <w:tc>
          <w:tcPr>
            <w:tcW w:w="398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96" w:type="dxa"/>
            <w:vMerge w:val="restart"/>
          </w:tcPr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</w:t>
            </w:r>
          </w:p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5" w:type="dxa"/>
            <w:vAlign w:val="center"/>
          </w:tcPr>
          <w:p w:rsidR="003E7646" w:rsidRPr="0053616C" w:rsidRDefault="003E7646" w:rsidP="003E7646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5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4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3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7646" w:rsidTr="003E7646">
        <w:trPr>
          <w:trHeight w:val="4763"/>
        </w:trPr>
        <w:tc>
          <w:tcPr>
            <w:tcW w:w="398" w:type="dxa"/>
            <w:vMerge/>
          </w:tcPr>
          <w:p w:rsid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</w:tcPr>
          <w:p w:rsidR="003E7646" w:rsidRPr="0053616C" w:rsidRDefault="003E7646" w:rsidP="0071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Align w:val="center"/>
          </w:tcPr>
          <w:p w:rsidR="003E7646" w:rsidRPr="0053616C" w:rsidRDefault="003E7646" w:rsidP="003E7646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5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4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3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на 2026 и 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1172"/>
        <w:gridCol w:w="913"/>
        <w:gridCol w:w="729"/>
        <w:gridCol w:w="448"/>
        <w:gridCol w:w="124"/>
        <w:gridCol w:w="124"/>
        <w:gridCol w:w="860"/>
        <w:gridCol w:w="802"/>
        <w:gridCol w:w="731"/>
        <w:gridCol w:w="912"/>
        <w:gridCol w:w="124"/>
        <w:gridCol w:w="1031"/>
        <w:gridCol w:w="1155"/>
      </w:tblGrid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внебюд-жетные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(расшифровать)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 с участием муниципальных образований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1.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специалистов по вопросам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каждом бюджетном учреждении специалиста, прошедшего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вопроса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энергетического менеджмента; пропаганда энергосберегающего поведения;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 населения в сфере энергосбережения и повышения энергетической эффективности; проведение специализированных конкурсов; информирование руководителей бюджетных учреждений о необходимости проведения меропри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ятий по энергосбережению и энергетической эффективности, в том числе о возможности заключения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(контрактов) и об особенностях их заключения.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размещение социальной рекламы, освещение в средствах массовой информации и на официальных сайтах муниципальных образований мероприятий в области энергосбережения и повышен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«круглых столов», семинаров с некоммерческими, общественными организациями, экологическими объединениями по проблематике энергосбережения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Задача подпрограммы 2 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проведения обязательных мероприятий по энергетическим обследованиям объектов, находящихся в собственности муницип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100%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заключении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и привлечении частных инвестиций в целях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100%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3. Реализация мер, направленных на снижение удельного объема используемых топливно-энергетических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теплотехнических характеристик зданий,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(утепление окон, дверей, фасадов зданий учрежде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ний бюджетной сферы, в том числе: административных зданий,</w:t>
            </w:r>
            <w:proofErr w:type="gramEnd"/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образования,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культуры,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спорта)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снижения тепл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потерь объектов, находящихся в собственности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систем освещения с установкой энергосберегающих ламп освещения в зданиях и на объектах,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потребления электроэнергии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Организации управления объектами, используемыми для передачи энергетических ресурсов,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Оформлению в муниципальную собственность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бесхозяйных объектов систем водоснабжения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ятий по оформлению в муниципальную собственность бесхозяйных объектов систем газоснабжения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Оформлению в муницип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альную собственность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бесхозяйных объектов систем газоснабжения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организации управления объектами, используемыми для передачи энергетических ресурсов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передачи в управление специализированным организациям 100% объектов, используемых для передачи 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мероприятиям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 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2026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t-ого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показатель результативности подпрог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объем средств на реализацию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куб.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2027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куб.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2028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Плани-руе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резуль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показатель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объем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показа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2029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объемов воды потребляемой БУ, расчеты за которую осуществ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2030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объемов воды потребля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значение (по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эксплуатацию специализированным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307B9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6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ПЛАНИРУЕМАЯ ЭФФЕКТИВНОСТЬ</w:t>
      </w:r>
    </w:p>
    <w:p w:rsidR="007121E4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53616C" w:rsidRPr="0053616C" w:rsidRDefault="0053616C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23"/>
        <w:gridCol w:w="789"/>
        <w:gridCol w:w="852"/>
        <w:gridCol w:w="788"/>
        <w:gridCol w:w="788"/>
        <w:gridCol w:w="1160"/>
        <w:gridCol w:w="84"/>
      </w:tblGrid>
      <w:tr w:rsidR="00307B99" w:rsidRPr="0053616C" w:rsidTr="00307B99">
        <w:trPr>
          <w:trHeight w:val="276"/>
          <w:jc w:val="center"/>
        </w:trPr>
        <w:tc>
          <w:tcPr>
            <w:tcW w:w="2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9" w:rsidRPr="0053616C" w:rsidRDefault="00307B99" w:rsidP="00307B99">
            <w:pPr>
              <w:spacing w:after="0" w:line="240" w:lineRule="auto"/>
              <w:ind w:left="72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эффективности МП по годам реализации</w:t>
            </w:r>
          </w:p>
          <w:p w:rsidR="00307B99" w:rsidRPr="0053616C" w:rsidRDefault="00307B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99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307B99" w:rsidRPr="0053616C" w:rsidTr="00307B99">
        <w:trPr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МП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Суммарная планируемая результативность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Эпп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Отклонение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(Эпп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(Эпп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4017" w:rsidRPr="0053616C" w:rsidRDefault="00F34017">
      <w:pPr>
        <w:rPr>
          <w:rFonts w:ascii="Times New Roman" w:hAnsi="Times New Roman" w:cs="Times New Roman"/>
          <w:sz w:val="24"/>
          <w:szCs w:val="24"/>
        </w:rPr>
      </w:pPr>
    </w:p>
    <w:sectPr w:rsidR="00F34017" w:rsidRPr="0053616C" w:rsidSect="00AD4C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21E4"/>
    <w:rsid w:val="00176F42"/>
    <w:rsid w:val="001C4E4E"/>
    <w:rsid w:val="001D1CBD"/>
    <w:rsid w:val="00244D19"/>
    <w:rsid w:val="00307B99"/>
    <w:rsid w:val="003E7646"/>
    <w:rsid w:val="004220FF"/>
    <w:rsid w:val="0043354E"/>
    <w:rsid w:val="0053616C"/>
    <w:rsid w:val="007121E4"/>
    <w:rsid w:val="00A36505"/>
    <w:rsid w:val="00AD4C72"/>
    <w:rsid w:val="00C52053"/>
    <w:rsid w:val="00C82469"/>
    <w:rsid w:val="00D67292"/>
    <w:rsid w:val="00DB4F17"/>
    <w:rsid w:val="00EA2A2C"/>
    <w:rsid w:val="00F3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1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D4C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4C72"/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71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E7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37856F4-255C-4AD8-AE34-A65D279F9E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437856F4-255C-4AD8-AE34-A65D279F9E3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92</Pages>
  <Words>14698</Words>
  <Characters>83784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dcterms:created xsi:type="dcterms:W3CDTF">2026-06-17T09:02:00Z</dcterms:created>
  <dcterms:modified xsi:type="dcterms:W3CDTF">2026-06-19T06:36:00Z</dcterms:modified>
</cp:coreProperties>
</file>