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Направляю Вам разъяснительные информации для размещения на официальном сайте органа местного самоуправления в разделе «Прокурор разъясняет»: </w:t>
      </w:r>
    </w:p>
    <w:p w14:paraId="02000000">
      <w:pPr>
        <w:pStyle w:val="Style_1"/>
        <w:ind w:firstLine="709"/>
        <w:rPr>
          <w:rFonts w:ascii="Times New Roman" w:hAnsi="Times New Roman"/>
        </w:rPr>
      </w:pPr>
    </w:p>
    <w:p w14:paraId="03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1. Изменился порядок возврата качественного товара, который потребитель купил дистанционно (20.02.2026)</w:t>
      </w:r>
    </w:p>
    <w:p w14:paraId="04000000">
      <w:pPr>
        <w:pStyle w:val="Style_1"/>
        <w:ind w:firstLine="709"/>
        <w:rPr>
          <w:rFonts w:ascii="Times New Roman" w:hAnsi="Times New Roman"/>
        </w:rPr>
      </w:pPr>
    </w:p>
    <w:p w14:paraId="05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Гражданин хотел по почте за свой счет вернуть интернет-магазину товар, который не подошел. Продавец отказал: надо лично прийти в любой розничный магазин торговой сети или направить туда представителя. Роспотребнадзор и суды не выявили нарушений - обратная передача товара почтой возможна только по согласованию с продавцом. По мнению КС РФ, у продавца можно запросить сведения об иных способах возврата, например, если его место находится вне населенного пункта, где живет покупатель. В ответ продавец обязан сообщить, в частности, актуальный адрес, по которому потребитель вправе направить товар в том числе для оценки его состояния без участия гражданина. Если продавец не идет навстречу, покупатель вправе сам решить, как вернуть изделие. Среди прочего можно обратиться к любому перевозчику или организации связи. В этом случае риск ненадлежащей упаковки, а также случайной гибели либо повреждения вещи во время доставки несет покупатель. Он же оплачивает транспортные расходы. Продавец не вправе отказаться принять изделие для оценки состояния. Продавец должен снижать вероятность спора о состоянии возвращенного товара. Так, можно фотографировать или снимать на видео вскрытие неповрежденной упаковки и осмотр изделия, составлять акты и т.п.</w:t>
      </w:r>
    </w:p>
    <w:p w14:paraId="06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Основание: Постановление КС РФ от 17.02.2026 № 7-П.</w:t>
      </w:r>
    </w:p>
    <w:p w14:paraId="07000000">
      <w:pPr>
        <w:pStyle w:val="Style_1"/>
        <w:ind w:firstLine="709"/>
        <w:rPr>
          <w:rFonts w:ascii="Times New Roman" w:hAnsi="Times New Roman"/>
          <w:b w:val="1"/>
        </w:rPr>
      </w:pPr>
    </w:p>
    <w:p w14:paraId="08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2. Штраф по Закону об ОСАГО не зависит от формы присужденного</w:t>
      </w:r>
      <w:r>
        <w:rPr>
          <w:rFonts w:ascii="Times New Roman" w:hAnsi="Times New Roman"/>
          <w:b w:val="1"/>
        </w:rPr>
        <w:t xml:space="preserve">возмещения (19.02.2026) </w:t>
      </w:r>
    </w:p>
    <w:p w14:paraId="09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Гражданин подал в страховую заявление о выплате, а затем в тот же день - о ремонте. Компания сообщила, что не может его организовать, и предоставила деньги. Тот их вернул и снова потребовал направить машину на станцию техобслуживания, но страховая этого не сделала. Финансовый уполномоченный ее поддержал, и дело дошло до суда. Первая инстанция не только обязала страховую организовать ремонт, но и взыскала с нее в пользу гражданина в том числе 50-процентный штраф. Апелляция его отменила. Она сочла, что штраф рассчитывают от присужденной суммы возмещения, а ее в данном случае нет. Кассация со второй инстанцией согласилась. По мнению ВС РФ, для назначения штрафа не важно, от какого возмещения уклоняется страховщик - в форме выплаты денег или организации и оплаты ремонта. Иначе те, кто законно требуют починить ТС, оказываются менее защищенными, чем те, кто выбирают выплату. Чтобы в этом случае исчислить штраф, надо опираться на цену ремонта. Ее определяют по единой методике ЦБ РФ без учета износа деталей, узлов и агрегатов, которые надо заменить. При этом суммы, которые выплатил страховщик, в расчет не берут. К аналогичным выводам ВС РФ уже приходил. Поскольку первая инстанция ошибочно исчислила штраф исходя из рыночной цены ремонта, ВС РФ снизил размер санкции. </w:t>
      </w:r>
    </w:p>
    <w:p w14:paraId="0A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Основание: Определение ВС РФ от 27.01.2026 № 18-КГ25-469-К4.</w:t>
      </w:r>
    </w:p>
    <w:p w14:paraId="0B000000">
      <w:pPr>
        <w:pStyle w:val="Style_1"/>
        <w:ind w:firstLine="709"/>
        <w:rPr>
          <w:rFonts w:ascii="Times New Roman" w:hAnsi="Times New Roman"/>
        </w:rPr>
      </w:pPr>
    </w:p>
    <w:p w14:paraId="0C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3. </w:t>
      </w:r>
      <w:r>
        <w:rPr>
          <w:rFonts w:ascii="Times New Roman" w:hAnsi="Times New Roman"/>
          <w:b w:val="1"/>
        </w:rPr>
        <w:t>Действие исполнительского иммунитета на единственное жилье должника (17.02.2026)</w:t>
      </w:r>
      <w:r>
        <w:rPr>
          <w:rFonts w:ascii="Times New Roman" w:hAnsi="Times New Roman"/>
        </w:rPr>
        <w:t xml:space="preserve"> </w:t>
      </w:r>
    </w:p>
    <w:p w14:paraId="0D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Гражданин обратился в суд с заявлением о своем банкротстве. Ссылался, что не может удовлетворить долговые обязательства умершего отца перед строительной компанией. Вместе с квартирой гражданин унаследовал долг более 9 млн руб. Кредитор потребовал включить имущество в конкурсную массу, чтобы продать его и погасить задолженность. Суд отказал кредитору. Спорная квартира - единственное жилье должника и защищена от взыскания. Апелляция не согласилась: гражданин искусственно ухудшил свои жилищные условия, подарив долю в другом жилом помещении матери. Кассация поддержала первую инстанцию. ВС РФ решил, что спорное имущество следует включить в конкурсную массу. Должник знал, что у наследодателя есть неисполненные обязательства перед кредитором. До принятия наследства гражданин умышленно совершил безвозмездную сделку по отчуждению жилого помещения, чтобы квартира получила статус единственного жилья.</w:t>
      </w:r>
    </w:p>
    <w:p w14:paraId="0E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Основание: Информация ВС РФ от 13.02.2026 (https://vsrf.ru/press_center/news/35483/).</w:t>
      </w:r>
    </w:p>
    <w:p w14:paraId="0F000000">
      <w:pPr>
        <w:pStyle w:val="Style_1"/>
        <w:ind w:firstLine="709"/>
        <w:rPr>
          <w:rFonts w:ascii="Times New Roman" w:hAnsi="Times New Roman"/>
        </w:rPr>
      </w:pPr>
    </w:p>
    <w:p w14:paraId="10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4. ЦБ РФ расширит возможности рассчитываться цифровыми рублями с 7 апреля 2026 года (13.02.2026) </w:t>
      </w:r>
    </w:p>
    <w:p w14:paraId="11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платформе цифрового рубля станут принимать распоряжения для расчетов по инкассо и прямым дебетованием. Сейчас допустима только одна форма расчетов - платежными поручениями. Она сохранится. Вступят в силу и другие изменения. Так, ЦБ РФ будет вправе запрашивать у пользователей платформы дополнительные сведения и документы, в т.ч. при рассмотрении их претензий. Регулятор сможет направить запрос по обычной или электронной почте либо по СМС. Однако способ ответа один - через интернетприемную. Напомним, цифровые рубли пока используют в пилотном режиме. В широкий оборот их начнут вводить поэтапно с 1 сентября 2026 года. Основание: Указание Банка России от 08.10.2025 № 7203-У. </w:t>
      </w:r>
    </w:p>
    <w:p w14:paraId="12000000">
      <w:pPr>
        <w:pStyle w:val="Style_1"/>
        <w:ind w:firstLine="709"/>
        <w:rPr>
          <w:rFonts w:ascii="Times New Roman" w:hAnsi="Times New Roman"/>
        </w:rPr>
      </w:pPr>
    </w:p>
    <w:p w14:paraId="13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5. Продажу товарных знаков физлица не зарегистрировали до банкротства - ВС РФ счел их конкурсной массой (12.02.2026)</w:t>
      </w:r>
    </w:p>
    <w:p w14:paraId="14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Предприниматель купил товарные знаки у гражданина. Во время регистрации перехода прав последнего признали банкротом. Роспатент сообщил, что нужно согласие финансового управляющего, но не получил этот документ и отказал в регистрации. Предприниматель попросил признать такое решение незаконным. Три инстанции поддержали требование. Сделка состоялась до банкротства, поэтому исключительные права не входят в конкурсную массу. ВС РФ не согласился с судами и отказал предпринимателю. Если права на имущество подлежат регистрации, без нее последствия их перехода не наступают. Товарные знаки вошли в конкурсную массу, поскольку на момент введения процедуры реализации имущества переход права на них не был зарегистрирован. Провести регистрацию без заявления финансового управляющего нельзя. </w:t>
      </w:r>
    </w:p>
    <w:p w14:paraId="15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Основание: Определение ВС РФ от 02.02.2026 № 305-ЭС25-11634.</w:t>
      </w:r>
    </w:p>
    <w:p w14:paraId="16000000">
      <w:pPr>
        <w:pStyle w:val="Style_1"/>
        <w:ind w:firstLine="709"/>
        <w:rPr>
          <w:rFonts w:ascii="Times New Roman" w:hAnsi="Times New Roman"/>
        </w:rPr>
      </w:pPr>
    </w:p>
    <w:p w14:paraId="17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6. Утвержден порядок взаимодействия организаций ЖКХ с собственниками недвижимости через мессенджер MAX (11.02.2026)</w:t>
      </w:r>
    </w:p>
    <w:p w14:paraId="18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Правила Минстроя нужно применять с 17 февраля 2026 года. Они касаются управляющих компаний, ресурсоснабжающих организаций, региональных операторов по обращению с ТКО и ряда иных юрлиц. Под взаимодействием понимается обмен сообщениями с собственниками </w:t>
      </w:r>
      <w:r>
        <w:rPr>
          <w:rFonts w:ascii="Times New Roman" w:hAnsi="Times New Roman"/>
        </w:rPr>
        <w:t xml:space="preserve">и пользователями жилых домов и помещений в МКД. Полагаем, речь идет о домовых чатах. Юрлиц обяжут поддерживать непрерывный доступ собственников и пользователей, например, к таким сведениям в мессенджере: </w:t>
      </w:r>
    </w:p>
    <w:p w14:paraId="19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номер телефона и электронная почта организации; </w:t>
      </w:r>
    </w:p>
    <w:p w14:paraId="1A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режим ее работы; </w:t>
      </w:r>
    </w:p>
    <w:p w14:paraId="1B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время и адрес центра обслуживания клиентов; </w:t>
      </w:r>
    </w:p>
    <w:p w14:paraId="1C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номер телефона диспетчерской и аварийно-диспетчерской служб юрлица; </w:t>
      </w:r>
    </w:p>
    <w:p w14:paraId="1D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также для ресурсоснабжающих организаций - данные о перерыве в поставках ресурсов для обслуживания МКД и жилых домов, информация о коммунальных услугах и пр. Вступят в силу и другие правила. </w:t>
      </w:r>
    </w:p>
    <w:p w14:paraId="1E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Отметим, с 1 сентября 2026 года управляющие компании должны среди прочего записывать на прием собственников и пользователей помещений в МКД в том числе через мессенджер MAX. </w:t>
      </w:r>
    </w:p>
    <w:p w14:paraId="1F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Приказ Минстроя России от 29.12.2025 № 856/пр. </w:t>
      </w:r>
    </w:p>
    <w:p w14:paraId="20000000">
      <w:pPr>
        <w:pStyle w:val="Style_1"/>
        <w:ind w:firstLine="709"/>
        <w:rPr>
          <w:rFonts w:ascii="Times New Roman" w:hAnsi="Times New Roman"/>
          <w:b w:val="1"/>
        </w:rPr>
      </w:pPr>
    </w:p>
    <w:p w14:paraId="21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7. Новые правила маркировки меховых изделий вводятся с 1 марта 2026 года (11.02.2026) </w:t>
      </w:r>
    </w:p>
    <w:p w14:paraId="22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весны одежду из норки, нутрии, песца, лисицы, зайца, енота, овчины нужно маркировать средствами идентификации со штрихкодами, а не контрольными знаками, как сейчас. Речь идет о товарах с подходящими кодами ТН ВЭД ЕАЭС и ОКПД 2. </w:t>
      </w:r>
    </w:p>
    <w:p w14:paraId="23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1 марта 2026 года начнутся: </w:t>
      </w:r>
    </w:p>
    <w:p w14:paraId="24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регистрация участников оборота в системе "Честный знак", подготовка и тестирование программных средств; </w:t>
      </w:r>
    </w:p>
    <w:p w14:paraId="25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передача в информсистему данных о вводе продукции в оборот, о ее обороте и о выводе из него. </w:t>
      </w:r>
    </w:p>
    <w:p w14:paraId="26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Изделия, произведенные или ввезенные в РФ и промаркированные контрольными знаками по 28 февраля 2026 года, разрешат реализовывать без средств идентификации по 28 февраля 2027 года. Правила маркировки также определяют: - необходимые для регистрации сведения, например о покраске, целевом поле, разрешительных документах;</w:t>
      </w:r>
    </w:p>
    <w:p w14:paraId="27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правила нанесения средств идентификации;</w:t>
      </w:r>
    </w:p>
    <w:p w14:paraId="28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состав информации о движении продукции и сроках ее передачи в информсистему. </w:t>
      </w:r>
    </w:p>
    <w:p w14:paraId="29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Постановление Правительства РФ от 31.01.2026 № 75. </w:t>
      </w:r>
    </w:p>
    <w:p w14:paraId="2A000000">
      <w:pPr>
        <w:pStyle w:val="Style_1"/>
        <w:ind w:firstLine="709"/>
        <w:rPr>
          <w:rFonts w:ascii="Times New Roman" w:hAnsi="Times New Roman"/>
        </w:rPr>
      </w:pPr>
    </w:p>
    <w:p w14:paraId="2B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8. Дополнительные требования после признания сделки недействительной при банкротстве: ВС РФ напомнил срок давности (10.02.2026)</w:t>
      </w:r>
    </w:p>
    <w:p w14:paraId="2C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рамках банкротства оспорили сделку с компанией и обязали ее вернуть должнику здание. Позже конкурсный управляющий попросил взыскать арендные платежи, которые компания получила за время пользования зданием, и начислить на них проценты по ст. 395 ГК РФ. Три инстанции применили общий срок давности и частично удовлетворили иск. ВС РФ отметил: оба требования - дополнительные к реституции. Их заявили после признания сделки недействительной. Поэтому период взыскания ограничивается сроком давности, который действовал до подачи иска. В данном случае это 1 год. Дело направили на новое рассмотрение. Верховный суд уже приводил такую позицию в обзоре судебной практики. </w:t>
      </w:r>
    </w:p>
    <w:p w14:paraId="2D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Определение ВС РФ от 03.02.2026 № 305-ЭС25-10460. </w:t>
      </w:r>
    </w:p>
    <w:p w14:paraId="2E000000">
      <w:pPr>
        <w:pStyle w:val="Style_1"/>
        <w:ind w:firstLine="709"/>
        <w:rPr>
          <w:rFonts w:ascii="Times New Roman" w:hAnsi="Times New Roman"/>
          <w:b w:val="1"/>
        </w:rPr>
      </w:pPr>
    </w:p>
    <w:p w14:paraId="2F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9. Присоединиться к экспериментам по маркировке отдельной продукции можно до конца лета (06.02.2026) </w:t>
      </w:r>
    </w:p>
    <w:p w14:paraId="30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Правительство продлило ряд экспериментов по маркировке товаров. Они завершатся 31 августа 2026 года, а не 28 февраля (как это было установлено ранее). До конца лета участники экспериментов могут работать в системе "Честный знак" добровольно. </w:t>
      </w:r>
    </w:p>
    <w:p w14:paraId="31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Новшество коснется: </w:t>
      </w:r>
    </w:p>
    <w:p w14:paraId="32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оптоволоконной продукции (волоконно-оптические кабели и оптические волокна); </w:t>
      </w:r>
    </w:p>
    <w:p w14:paraId="33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отопительных приборов (радиаторы и котлы центрального отопления, конвекторы);</w:t>
      </w:r>
    </w:p>
    <w:p w14:paraId="34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кабельно-проводниковой продукции (кабели и провода на напряжение 1000 В, а также не более 1000 В с изолированными проводниками диаметром более 0,51 мм); </w:t>
      </w:r>
    </w:p>
    <w:p w14:paraId="35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отдельных видов пиротехники, средств пожаротушения и обеспечения пожарной безопасности (огнетушители, извещатели, оповещатели и др.); </w:t>
      </w:r>
    </w:p>
    <w:p w14:paraId="36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полимерной трубной продукции (пластмассовые трубки, шланги, фитинги и др.); </w:t>
      </w:r>
    </w:p>
    <w:p w14:paraId="37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автозапчастей (фильтры, свечи зажигания, тормозные колодки и диски, ходовые колеса, лобовые стекла и др.). Бизнесу дали время, поскольку не все его представители успели подготовиться к введению обязательной маркировки. Дополнительный период позволит, например, изготовителям реализовать необходимые технические решения и протестировать процесс нанесения QR-кодов на упаковку. </w:t>
      </w:r>
    </w:p>
    <w:p w14:paraId="38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Постановление Правительства РФ от 29.01.2026 № 67. </w:t>
      </w:r>
    </w:p>
    <w:p w14:paraId="39000000">
      <w:pPr>
        <w:pStyle w:val="Style_1"/>
        <w:ind w:firstLine="709"/>
        <w:rPr>
          <w:rFonts w:ascii="Times New Roman" w:hAnsi="Times New Roman"/>
        </w:rPr>
      </w:pPr>
    </w:p>
    <w:p w14:paraId="3A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10. Правила перераспределения частных и публичных земельных участков изменятся с 10 февраля (05.02.2026)  </w:t>
      </w:r>
    </w:p>
    <w:p w14:paraId="3B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Установят новый случай, когда можно перерасп</w:t>
      </w:r>
      <w:r>
        <w:rPr>
          <w:rFonts w:ascii="Times New Roman" w:hAnsi="Times New Roman"/>
        </w:rPr>
        <w:t>ределить, с одной стороны, частные, а с другой - государственные или муниципальные участки (земли). Речь идет о ситуации, когда нужно соблюсти ряд требований к объектам. Это не касается недвижимости граждан, на которой они занимаются, например, садоводством для своих нужд. Воспользоваться новшеством можно лишь 1 раз. Процедуру проведут по проекту межевания территории, а если его нет - по схеме расположения участка. По общему правилу уполномоченный орган не пойдет на перераспределение, если площадь исходного частного объекта увеличится более чем на 1000 кв. м. Есть и другие основания для отказа. Уточнят, что в результате процедуры допускается уменьшение площади частных объектов, если соблюдены требования к образуемой недвижимости.</w:t>
      </w:r>
    </w:p>
    <w:p w14:paraId="3C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Федеральный закон от 30.01.2026 № 12-ФЗ. </w:t>
      </w:r>
    </w:p>
    <w:p w14:paraId="3D000000">
      <w:pPr>
        <w:pStyle w:val="Style_1"/>
        <w:ind w:firstLine="709"/>
        <w:rPr>
          <w:rFonts w:ascii="Times New Roman" w:hAnsi="Times New Roman"/>
        </w:rPr>
      </w:pPr>
    </w:p>
    <w:p w14:paraId="3E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11. Нестационарные торговые объекты: поправки об их размещении заработают с 1 сентября 2026 года (05.02.2026) </w:t>
      </w:r>
    </w:p>
    <w:p w14:paraId="3F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регион установит новое требование к размещению или использованию нестационарного торгового объекта (НТО), у бизнеса будет не менее года, чтобы привести такую точку в соответствие. Срок отсчитают с даты вступления акта субъекта РФ в силу. При этом точку не исключат из схемы размещения НТО (схема), которая определяет локации для таких объектов, в частности, на публичных земельных участках. Правило коснется требований, которые не применяли на дату включения объекта в схему. Оно не затрагивает случаи, когда изменения внесли в нее. Кроме того, схемой сможет предусматриваться более 1 места размещения мобильного торгового объекта (автоприцеп, автолавка и т.п.). Регионы нормативно правовым актом смогут потребовать включить в схему НТО, которые находятся на частных земельных участках. </w:t>
      </w:r>
    </w:p>
    <w:p w14:paraId="40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Основание: Федеральный закон от 30.01.2026 № 14-ФЗ. </w:t>
      </w:r>
    </w:p>
    <w:p w14:paraId="41000000">
      <w:pPr>
        <w:pStyle w:val="Style_1"/>
        <w:ind w:firstLine="709"/>
        <w:rPr>
          <w:rFonts w:ascii="Times New Roman" w:hAnsi="Times New Roman"/>
          <w:b w:val="1"/>
        </w:rPr>
      </w:pPr>
    </w:p>
    <w:p w14:paraId="42000000">
      <w:pPr>
        <w:pStyle w:val="Style_1"/>
        <w:ind w:firstLine="709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12. Внесены изменения в Стратегию государственной антинаркотической политики Российской Федерации на период до 2030 года </w:t>
      </w:r>
    </w:p>
    <w:p w14:paraId="43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частности, закреплены показатели, которыми можно охарактеризовать наркоситуацию, сложившуюся в Российской Федерации к 2025 году. Скорректированы угрозы национальной безопасности в сфере оборота наркотиков, а также в области противодействия их незаконному обороту в среднесрочной и долгосрочной перспективе, направления антинаркотической политики и меры, путем реализации которых осуществляется совершенствование антинаркотической деятельности и государственного контроля за оборотом наркотиков.</w:t>
      </w:r>
    </w:p>
    <w:p w14:paraId="44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 уточнены ожидаемые результаты реализации Стратегии. </w:t>
      </w:r>
    </w:p>
    <w:p w14:paraId="45000000">
      <w:pPr>
        <w:pStyle w:val="Style_1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Основание: Указ Президента РФ от 16.02.2026 № 94 «О внесении изменений в Стратегию государственной антинаркотической политики Российской Федерации на период до 2030 года, утвержденную Указом Президента Российской Федерации от 23 ноября 2020 г. № 733».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2026-05-12T08:42:49Z</dcterms:created>
  <dcterms:modified xsi:type="dcterms:W3CDTF">2026-05-12T08:42:49Z</dcterms:modified>
</cp:coreProperties>
</file>