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195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021195">
        <w:rPr>
          <w:rFonts w:ascii="Times New Roman" w:hAnsi="Times New Roman" w:cs="Times New Roman"/>
          <w:b/>
          <w:sz w:val="28"/>
          <w:szCs w:val="28"/>
        </w:rPr>
        <w:instrText xml:space="preserve"> HYPERLINK "https://epp.genproc.gov.ru/web/proc_36/activity/legal-education/explain?item=103574150" \o "https://epp.genproc.gov.ru/web/proc_36/activity/legal-education/explain?item=103574150" </w:instrText>
      </w:r>
      <w:r w:rsidRPr="00021195">
        <w:rPr>
          <w:rFonts w:ascii="Times New Roman" w:hAnsi="Times New Roman" w:cs="Times New Roman"/>
          <w:b/>
          <w:sz w:val="28"/>
          <w:szCs w:val="28"/>
        </w:rPr>
        <w:fldChar w:fldCharType="separate"/>
      </w:r>
      <w:proofErr w:type="spellStart"/>
      <w:r w:rsidRPr="00021195">
        <w:rPr>
          <w:rStyle w:val="af0"/>
          <w:rFonts w:ascii="Times New Roman" w:eastAsia="Liberation Sans" w:hAnsi="Times New Roman" w:cs="Times New Roman"/>
          <w:b/>
          <w:color w:val="333333"/>
          <w:sz w:val="28"/>
          <w:szCs w:val="28"/>
          <w:u w:val="none"/>
        </w:rPr>
        <w:t>Эскроу</w:t>
      </w:r>
      <w:proofErr w:type="spellEnd"/>
      <w:r w:rsidRPr="00021195">
        <w:rPr>
          <w:rStyle w:val="af0"/>
          <w:rFonts w:ascii="Times New Roman" w:eastAsia="Liberation Sans" w:hAnsi="Times New Roman" w:cs="Times New Roman"/>
          <w:b/>
          <w:color w:val="333333"/>
          <w:sz w:val="28"/>
          <w:szCs w:val="28"/>
          <w:u w:val="none"/>
        </w:rPr>
        <w:t>-счета как механизм защиты прав дольщиков</w:t>
      </w:r>
      <w:r w:rsidRPr="00021195">
        <w:rPr>
          <w:rStyle w:val="af0"/>
          <w:rFonts w:ascii="Times New Roman" w:eastAsia="Liberation Sans" w:hAnsi="Times New Roman" w:cs="Times New Roman"/>
          <w:b/>
          <w:color w:val="333333"/>
          <w:sz w:val="28"/>
          <w:szCs w:val="28"/>
          <w:u w:val="none"/>
        </w:rPr>
        <w:fldChar w:fldCharType="end"/>
      </w:r>
    </w:p>
    <w:p w:rsidR="00021195" w:rsidRDefault="0086501A" w:rsidP="00021195">
      <w:pP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 xml:space="preserve">В соответствии с Федеральным законом от 30.12.2004 № 214-ФЗ </w:t>
      </w:r>
      <w:r w:rsid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br/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«Об участии в долевом строительстве многоквартирных домов и других объектов недвижимости» (далее – Закон № 214-ФЗ) дольщики имеют право на получение полной и достоверной информации о ходе строител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ьства, а также на защиту своих интересов в случае нарушения условий договора. 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br/>
        <w:t xml:space="preserve">Одним из ключевых механизмов защиты прав дольщиков является использование </w:t>
      </w:r>
      <w:proofErr w:type="spellStart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эскроу</w:t>
      </w:r>
      <w:proofErr w:type="spellEnd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-счетов в банках, имеющих соответствующую лицензию. </w:t>
      </w:r>
    </w:p>
    <w:p w:rsidR="00021195" w:rsidRDefault="0086501A" w:rsidP="00021195">
      <w:pP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 xml:space="preserve">Указанные счета обеспечивают защиту средств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дольщиков, так как доступ к ним застройщик получает только после выполнения определенных условий, таких как завершение строительства и получение разрешения на ввод объекта в эксплуатацию. </w:t>
      </w:r>
    </w:p>
    <w:p w:rsidR="00021195" w:rsidRDefault="0086501A" w:rsidP="00021195">
      <w:pP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Это значительно снижает риски потери средств и в случае банкротства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 xml:space="preserve"> </w:t>
      </w:r>
      <w:proofErr w:type="spellStart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застройщика.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При</w:t>
      </w:r>
      <w:proofErr w:type="spellEnd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 xml:space="preserve"> этом согласно части 2 статьи 1 Закона № 214-ФЗ привлечение денежных средств граждан для приобретения помещений в многоквартирных домах или иных объектах недвижимости, не введенных в эксплуатацию, допускается только на основании договора у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частия в долевом строительстве. </w:t>
      </w:r>
    </w:p>
    <w:p w:rsidR="00021195" w:rsidRDefault="0086501A" w:rsidP="00021195">
      <w:pP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Вместе с тем имеются случаи привлечения строительными организациями денежных средств граждан до заключения и регистрации договоров участия в долевом строительстве. Использование иных форм договоров позволяет застройщику при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влекать денежные средства граждан в наличной форме, без государственной регистрации сделок в нарушение установленного законом порядка.</w:t>
      </w:r>
    </w:p>
    <w:p w:rsidR="00021195" w:rsidRDefault="0086501A" w:rsidP="00021195">
      <w:pP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 xml:space="preserve">Кроме того, указанные договоры заключаются в целях </w:t>
      </w:r>
      <w:proofErr w:type="spellStart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избежания</w:t>
      </w:r>
      <w:proofErr w:type="spellEnd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 xml:space="preserve"> ответственности застройщика в виде неустойки за несвоевремен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ную передачу объекта участнику долевого строительства, начисляемую в соответствии со статьей 6 Закона № 214-ФЗ. </w:t>
      </w:r>
    </w:p>
    <w:p w:rsidR="00E571F5" w:rsidRDefault="0086501A" w:rsidP="00021195">
      <w:pP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>Таким образом, заключение договоров займа, предварительной купли-продажи, инвестирования в строительство, подменяющих договор долевого участия,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  <w:highlight w:val="white"/>
        </w:rPr>
        <w:t xml:space="preserve"> противоречит действующему законодательству.</w:t>
      </w:r>
    </w:p>
    <w:p w:rsidR="00021195" w:rsidRPr="00021195" w:rsidRDefault="00021195" w:rsidP="00021195">
      <w:pP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</w:p>
    <w:p w:rsidR="0002119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До конца 2026 года расчет пеней и штрафов за несвоевременную оплату ЖКУ будет осуществляться исходя из пониженной ключевой ставки Банка России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 соответствии с постановлением Правительства Российской Федерации о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т 18.03.2025 № 329 «О некоторых особенностях регулирования жилищных отношений в 2025 - 2026 годах» до 1 января 2027 года расчет пеней, штрафов, начисление процентов в случаях, в частности, несвоевременного внесения платы за жилое помещение и коммунальные у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слуги, взносов на капитальный ремонт и т.д., будет осуществляться исходя из минимального значения ключевой ставки Банка России из следующих значений: ключевой ставки, действующей по состоянию на 27 февраля 2022 г. (9,5%), и ключевой ставки,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lastRenderedPageBreak/>
        <w:t xml:space="preserve">действующей на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день фактической оплаты (на день исполнения обязательства, на день начисления процентов, на дату настоящей публикации 21%). 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Положения нормативного правового акта действуют в отношении жилищных отношений, которые возникли с 01.01.2025.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Ответственность за п</w:t>
      </w: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 xml:space="preserve">убличную реабилитацию нацизма </w:t>
      </w:r>
      <w:r w:rsid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br/>
      </w: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и осквернение символов воинской славы России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 преддверии Дня Победы напоминаем об ответственности за совершение действий, направленных на реабилитацию нацизма, осквернение символов воинской славы России, публичное распростран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ение заведомо ложных сведений о ветеранах Великой Отечественной войны.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Статьей 354.1 УК РФ предусмотрена уголовная ответственность за отрицание фактов, установленных приговором Международного военного трибунала, одобрение преступлений, установленных указан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ным приговором, а равно распространение заведомо ложных сведений о деятельности СССР в годы Второй мировой войны, о ветеранах Великой Отечественной войны, унижение чести и достоинства ветерана Великой Отечественной войны, совершенные публично.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За указанные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деяния максимальное наказание предусмотрено вплоть до лишения свободы на срок до 5 лет.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Уничтожение либо повреждение воинских захоронений, а также памятников, стел, обелисков, других мемориальных сооружений или объектов, увековечивающих память погибших пр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и защите отечества или его интересов в период Великой Отечественной войны либо посвященных дням воинской славы России в этот период влечет уголовную ответственность по </w:t>
      </w:r>
      <w:r w:rsid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п. «б» ч. 2 ст. 243.4 УК РФ вплоть до лишения свободы до 5 лет.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В связи с принятием Феде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рального закона от 29.12.2022 № 579-ФЗ </w:t>
      </w:r>
      <w:r w:rsid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«О Георгиевской ленте и о внесении изменений в отдельные законодательные акты Российской Федерации»», определяющего Георгиевскую ленту как символ воинской славы России, действие ч. 3 ст. 354.1 УК РФ распространяется и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на деяния, сопряженные с осквернением данного символа.</w:t>
      </w:r>
    </w:p>
    <w:p w:rsidR="00E571F5" w:rsidRPr="00021195" w:rsidRDefault="00E571F5" w:rsidP="00021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Принят закон о противодействии осуществлению операций с использованием денежных средств клиента без его согласия или с согласия, полученного под влиянием обмана или при злоупотреблении доверием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В соответствии с Федеральным законом от 13.02.2025 № 9-ФЗ «О внесении изменений в отдельные законодательные акты Российской Федерации» с 1 сентября 2025 года устанавливается «период охлаждения» по кредитам и займам, когда получить деньги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по кредиту или займу от 50 тыс. до 200 тыс. рублей можно будет только через 4 часа после заключения договора. 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Если сумма (лимит) потребительского кредита (займа) превышает 200 тысяч рублей, выдача денежных средств по кредитному договору может быть осущест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влена не раньше</w:t>
      </w:r>
      <w:r w:rsid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,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чем через 48 часов. 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lastRenderedPageBreak/>
        <w:t>Мероприятия по противодействию заключению договоров потребительского кредита без добровольного согласия клиента не применяются: 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при множественности лиц в обязательстве на стороне заемщика, наличии у заемщика поручителе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й; если обязательства заемщика обеспечиваются ипотекой и (или) залогом транспортного средства (в случаях зачисления заемных денежных средств на счета юридического лица - продавца транспортного средства); 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если потребительский кредит предоставляется заемщик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у в целях полного или частичного исполнения им обязательств по другому кредиту (займу) или другим кредитам (займам) и если это не повлечет за собой увеличение размера существующих денежных обязательств заемщика; если заемщиком не позднее чем за два дня до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направления заявления о предоставлении кредита назначено уполномоченное лицо для получения подтверждения заключения кредитного договора; 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если кредитная организация перечисляет денежные средства юридическому лицу или индивидуальному предпринимателю, осущес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твляющим реализацию товаров (выполнение работ, оказание услуг) в счет оплаты товаров (работ, услуг), приобретаемых заемщиком, за исключением случаев их приобретения с использованием сети «Интернет»; 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если такие договоры являются договорами основного образо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вательного кредита. 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Также регулируется порядок проверки сведений о получателе денежных средств в базе данных о случаях и попытках осуществления переводов денежных средств без добровольного согласия клиента, определяются мероприятия по противодействию опер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ациям по внесению наличных денежных средств на банковские счета с применением </w:t>
      </w:r>
      <w:proofErr w:type="spellStart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токенизированных</w:t>
      </w:r>
      <w:proofErr w:type="spellEnd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(цифровых) платежных карт с использованием банкоматов или иных технических устройств, устанавливается обязанность предоставления бюро кредитных историй сведений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пользователю кредитной истории для предупреждения возможного мошенничества. 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Закреплена обязанность микрофинансовых организаций зачислять денежные средства по договору потребительского займа только при условии совпадения сведений о заемщике и получателе де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нежных средств. 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Микрофинансовые организации смогут получать от Банка России в установленном порядке и по установленной форме информацию, содержащуюся в базе данных о случаях и попытках осуществления переводов денежных средств без добровольного согласия кл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иента.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Предусматривается, что кредитные организации, микрофинансовые организации не вправе требовать исполнения заемщиком обязательств, начислять проценты и уступать права требования по договору потребительского кредита (займа) при одновременном наличии сл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едующих обстоятельств: они не осуществили комплекс мер, направленных на борьбу с мошенниками, и по факту хищения денежных средств по договору потребительского кредита (займа) у заемщика возбуждено уголовное дело.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Многодетным семьям предоставлено право на б</w:t>
      </w: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есплатное посещение музеев, парков культуры и отдыха, выставок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lastRenderedPageBreak/>
        <w:t xml:space="preserve">Постановлением Правительства РФ от 09.04.2025 № 463 утверждены Правила участия организаций, находящихся в ведении федеральных органов исполнительной власти и других федеральных государственных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органов, в предоставлении права на бесплатное посещение музеев, парков культуры и отдыха и выставок на территории Российской Федерации многодетным семьям независимо от места их жительства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.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>
        <w:rPr>
          <w:rFonts w:ascii="Times New Roman" w:eastAsia="Liberation Sans" w:hAnsi="Times New Roman" w:cs="Times New Roman"/>
          <w:color w:val="333333"/>
          <w:sz w:val="28"/>
          <w:szCs w:val="28"/>
        </w:rPr>
        <w:t>Т</w:t>
      </w:r>
      <w:r w:rsidR="0086501A"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ак, при условии подтверждения статуса многодетной семьи оформляетс</w:t>
      </w:r>
      <w:r w:rsidR="0086501A"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я бесплатный билет или бесплатный электронный билет на проводи</w:t>
      </w:r>
      <w:r w:rsidR="0086501A"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мое мероприятие на каждого члена многодетной семьи, обратившегося за получением права на бесплатное посещение.</w:t>
      </w:r>
      <w:r w:rsidR="0086501A"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Информация о порядке бесплатного посещения доводится до сведения многодетной семьи</w:t>
      </w:r>
      <w:r w:rsidR="0086501A"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посредством ее размещения на официальных  сайтах организаций в сети «Интернет», на специального оборудованных информационных стендах, размещаемых на территории организаций, а также иными доступными способами.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Перечень организаций, предоставляющих право на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бесплатное посещение гражданину и членам его семьи, отнесенных к составу многодетной семьи в РФ, размещается на едином портале государственных услуг.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</w:p>
    <w:p w:rsidR="00E571F5" w:rsidRP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Р</w:t>
      </w:r>
      <w:r w:rsidR="0086501A"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асширены трудовые гарантии членов семьи участников специальной военной операции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Федера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льным законом от 07.04.2025 № 64-ФЗ внесены изменения в статью 128 Трудового кодекса РФ, направленные на расширение трудовых гарантий, предоставляемых членам семей участников СВО.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Работодатель обязан предоставить на основании письменного заявления работник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а отпуск без сохранения заработной платы родителям, супругам и детям (в т.ч. совершеннолетним) военнослужащих, добровольцев, получивших ранение, контузию, или заболевание в связи с прохождением службы или исполнением обязанностей по контракту (в целях уход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а за ними) – до 35 календарных дней в году.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Это будет способствовать повышению уровня правовой защищенности членов семей участников СВО и более быстрому восстановлению раненых или тяжелобольных бойцов под присмотром близких родственников.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Если участник СВО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погиб или умер вследствие ранения, контузии, увечья либо заболевания, полученных в связи с прохождением военной службы (службы) или исполнением обязанностей по контракту, отпуск без сохранения заработной платы предоставляется членам семьи до 14 календарны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х дней в году.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Полномочия органов прокуратуры при осуществлении надзора за исполнением законодательства контролирующими органами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000000"/>
          <w:sz w:val="28"/>
          <w:szCs w:val="28"/>
        </w:rPr>
        <w:t> </w:t>
      </w:r>
      <w:r w:rsidRPr="00021195">
        <w:rPr>
          <w:rFonts w:ascii="Times New Roman" w:eastAsia="Liberation Sans" w:hAnsi="Times New Roman" w:cs="Times New Roman"/>
          <w:color w:val="FFFFFF"/>
          <w:sz w:val="28"/>
          <w:szCs w:val="28"/>
        </w:rPr>
        <w:t>Текст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000000"/>
          <w:sz w:val="28"/>
          <w:szCs w:val="28"/>
        </w:rPr>
        <w:t> </w:t>
      </w:r>
      <w:r w:rsidRPr="00021195">
        <w:rPr>
          <w:rFonts w:ascii="Times New Roman" w:eastAsia="Liberation Sans" w:hAnsi="Times New Roman" w:cs="Times New Roman"/>
          <w:color w:val="FFFFFF"/>
          <w:sz w:val="28"/>
          <w:szCs w:val="28"/>
        </w:rPr>
        <w:t>Поделиться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lastRenderedPageBreak/>
        <w:t>Механизм согласования проведения контрольных (надзорных) мероприятий (далее – КНМ) активно используется прокурорами в качестве основного инструмента снижения административного давления на бизнес.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В целях реализации проводимой прокурорами работы в данной сф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ере закреплены новые полномочия органов прокуратуры в указанной сфере.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 xml:space="preserve">В частности, Федеральным законом от 28.12.2024 № 540-ФЗ «О внесении изменений в Федеральный закон «О государственном контроле (надзоре) и муниципальном контроле в Российской Федерации»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внедрен институт заключения контролируемым лицом с контрольным (надзорным) органом соглашения о надлежащем устранении выявленных нарушений обязательных требований (в случае необходимости значительных временных и материальных затрат) и приостановлении дейст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вия выданного предписания.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При этом, заключение данного соглашения подлежит согласованию с прокурором.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Ввиду истечения в 2024 году срока действия моратория на проверки вышеуказанным законом закреплены положительно зарекомендовавшие себя механизмы ограничен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ия контрольной (надзорной) деятельности: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 - сохранены обязанность согласования с прокурором внеплановых документарных проверок, КНМ по индикаторам риска и по контролю за исполнением ранее выданных предписаний, запрет на планирование КНМ в отношении неопасн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ых объектов контроля;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- введены нормы о непосредственном характере угрозы причинения вреда охраняемым законом ценностям и тяжести их негативных последствий как основаниях проведения внеплановых КНМ; 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- реализованы предложения об учете результатов профилакт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ических мероприятий при категорировании объектов контроля, расширении практики проведения обязательных профилактических визитов с осуществлением отдельных контрольных (надзорных) действий, составлением акта и выдачей предписания без наложения административ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ных санкций. 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Данный правовой инструментарий будет использоваться при осуществлении надзорной деятельности органов прокуратуры для обеспечения общественной безопасности, соблюдения баланса интересов граждан, государства и общества.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С 1 сентября 2025 вводится уголовная ответственность за пропаганду наркотиков</w:t>
      </w: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 xml:space="preserve"> 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Федеральным законом от 08.08.2024 № 226-ФЗ Уголовный кодекс Российской Федерации дополнен статьей 230.3, предусматрива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ющей уголовную ответственность за пропаганду наркотических средств, психотропных веществ, их аналогов или прекурсоров, растений, содержащих наркотические средства или психотропные вещества либо их прекурсоры, в информационно- телекоммуникационных сетях (вк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лючая сеть «Интернет»), лицом после его привлечения к административной ответственности за аналогичное деяние два раза в течение одного года либо имеющим судимость за совершение преступления, предусмотренного настоящей статьей. 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lastRenderedPageBreak/>
        <w:t>Совершение указанного престу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пления будет наказываться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лет, либо обязательными работами на срок от ста восьмидесяти до двухсот сорока час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ов с лишением права занимать определенные должности или заниматься определенной деятельностью на срок до двух лет или без такового, либо исправительными работами на срок до двух лет с лишением права занимать определенные должности или заниматься определенн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ой деятельностью на срок до двух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такового, либо принудительными работ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ами на срок до двух лет с лишением права занимать определенные должности или заниматься определенной деятельностью на срок до двух лет или без такового, либо лишением свободы на тот же срок с лишением права занимать определенные должности или заниматься оп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ределенной деятельностью на срок до двух лет или без такового. 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Внесены изменения в особенности обеспечения общественного порядка и общественной безопасности при организации и проведении зрелищных мероприятий</w:t>
      </w:r>
    </w:p>
    <w:p w:rsid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Федеральным законом от 21.04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.2025 № 87-ФЗ внесены изменения в нормативные акты, регламентирующие организацию и проведение зрелищных мероприятий.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В частности, организатор зрелищного мероприятия будет обязан заблаговременно уведомить соответствующий орган исполнительной власти субъекта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РФ, орган местного самоуправления о тематике мероприятия, объекте и территории, на которых планируется его проведение, их собственнике (правообладателе), дате и времени проведения, планируемом количестве посетителей и мерах по организации обеспечения обще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ственного порядка и общественной безопасности.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В свою очередь органы государственной власти субъекта РФ и органы местного самоуправления информируют об этом органы внутренних дел и другие заинтересованные органы и учреждения в целях реализации полномочий п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о охране общественного порядка и обеспечения общественной безопасности.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Внесенными в законодательство изменениями предусмотрена процедура и сроки указанных уведомлений, а также принимаемые меры в целях обеспечения безопасности зрелищных мероприятий.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На орг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анизатора зрелищного мероприятия и собственника (правообладателя) объекта или территории, на которых оно проводится, возлагается обязанность по обеспечению охраны, технической оснащенности, укрепленности и антитеррористической защищенности таких объекта и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территории.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Дополнительно определены права и обязанности контролеров - распорядителей при проведении зрелищного мероприятия на спортивном сооружении.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lastRenderedPageBreak/>
        <w:t>Предусмотрено, что организатор зрелищного мероприятия, проводимого на спортивном сооружении, должен обеспе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чить деятельность контролеров - распорядителей, включая предоставление им форменной одежды, питания, компенсационных выплат, связанных с оплатой стоимости питания, проезда, проживания.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Изменения вступают в силу с 1 сентября 2025 года.</w:t>
      </w:r>
    </w:p>
    <w:p w:rsidR="00021195" w:rsidRDefault="00021195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</w:pP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Обновлены условия пол</w:t>
      </w:r>
      <w:r w:rsidRPr="00021195">
        <w:rPr>
          <w:rFonts w:ascii="Times New Roman" w:eastAsia="Liberation Sans" w:hAnsi="Times New Roman" w:cs="Times New Roman"/>
          <w:b/>
          <w:color w:val="333333"/>
          <w:sz w:val="28"/>
          <w:szCs w:val="28"/>
        </w:rPr>
        <w:t>учения ежемесячных выплат по уходу за детьми – инвалидами в возрасте до 18 лет или инвалидами с детства 1 группы</w:t>
      </w:r>
    </w:p>
    <w:p w:rsidR="0086501A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Вступили в силу поправки к постановлению Правительства РФ от 02.05.2013 № 397 «Об осуществлении ежемесячных выплат трудоспос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обным лицам, осуществляющим уход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за детьми - инвалидами в возрасте до 18 лет или инвалидами с детства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I группы»</w:t>
      </w:r>
    </w:p>
    <w:p w:rsidR="0086501A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Ежемесячная выплата устанавливается при наличии обязательства по обеспечению ухода за указанными лицами (обеспечение  поддержки питания, личн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ой гигиены, состояния здоровья, мобильности и социального функционирования), продолжительностью не менее 14 часов в неделю.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br/>
        <w:t>Заявление об установлении ежемесячной выплаты и заявления о согласии на уход конкретным лицом подаютс</w:t>
      </w:r>
      <w:bookmarkStart w:id="0" w:name="_GoBack"/>
      <w:bookmarkEnd w:id="0"/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я в орган, осуществляющий выпла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ту пенсии, или МФЦ в случае, если между органом, осуществляющим выплату пенсии, и МФЦ заключено соглашение о взаимодействии.</w:t>
      </w:r>
    </w:p>
    <w:p w:rsidR="0086501A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Дополнен перечень случаев, при которых осуществление ежемесячной выплаты прекращается:</w:t>
      </w:r>
    </w:p>
    <w:p w:rsidR="0086501A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–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поступление заявления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 xml:space="preserve"> об отказе от ухода 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в связи с неисполнением обязательства по обеспечению ухода;</w:t>
      </w:r>
    </w:p>
    <w:p w:rsidR="0086501A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– непредоставление заявления о назначении выплаты до истечения 12 месяцев с даты подачи предыдущего заявления;</w:t>
      </w:r>
    </w:p>
    <w:p w:rsidR="0086501A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– утрата лицом, осуществляющим уход, статуса родителя 9усыновителя) или опекуна (попе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чителя) ребенка – инвалида в возрасте до 18 лет, инвалида с детства I группы.</w:t>
      </w:r>
    </w:p>
    <w:p w:rsidR="0086501A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ans" w:hAnsi="Times New Roman" w:cs="Times New Roman"/>
          <w:color w:val="333333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Отказ законного представителя ребенка – инвалида или инвалида с детства 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I группы от ухода, осуществляющего другим неработающим трудоспособным лицом, в связи с неисполнением им о</w:t>
      </w: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бязательства по обеспечению ухода может быть заявлен в устной форме посредством телефонной связи. </w:t>
      </w:r>
    </w:p>
    <w:p w:rsidR="00E571F5" w:rsidRPr="00021195" w:rsidRDefault="0086501A" w:rsidP="000211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195">
        <w:rPr>
          <w:rFonts w:ascii="Times New Roman" w:eastAsia="Liberation Sans" w:hAnsi="Times New Roman" w:cs="Times New Roman"/>
          <w:color w:val="333333"/>
          <w:sz w:val="28"/>
          <w:szCs w:val="28"/>
        </w:rPr>
        <w:t>Такой отказ оформляется органом, осуществляющим выплату пенсии, путем составления соответствующего акта.</w:t>
      </w:r>
    </w:p>
    <w:p w:rsidR="00E571F5" w:rsidRPr="00021195" w:rsidRDefault="00E571F5" w:rsidP="00021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71F5" w:rsidRPr="0002119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1F5" w:rsidRDefault="0086501A">
      <w:pPr>
        <w:spacing w:after="0" w:line="240" w:lineRule="auto"/>
      </w:pPr>
      <w:r>
        <w:separator/>
      </w:r>
    </w:p>
  </w:endnote>
  <w:endnote w:type="continuationSeparator" w:id="0">
    <w:p w:rsidR="00E571F5" w:rsidRDefault="0086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1F5" w:rsidRDefault="0086501A">
      <w:pPr>
        <w:spacing w:after="0" w:line="240" w:lineRule="auto"/>
      </w:pPr>
      <w:r>
        <w:separator/>
      </w:r>
    </w:p>
  </w:footnote>
  <w:footnote w:type="continuationSeparator" w:id="0">
    <w:p w:rsidR="00E571F5" w:rsidRDefault="00865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F5"/>
    <w:rsid w:val="00021195"/>
    <w:rsid w:val="005275C8"/>
    <w:rsid w:val="0086501A"/>
    <w:rsid w:val="00E5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5414"/>
  <w15:docId w15:val="{4E1E1A79-936B-4F10-8076-E4EE95A4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Санкова Алина Андреевна</dc:creator>
  <cp:keywords/>
  <dc:description/>
  <cp:lastModifiedBy>Федотова Дарья Александровна</cp:lastModifiedBy>
  <cp:revision>4</cp:revision>
  <dcterms:created xsi:type="dcterms:W3CDTF">2025-04-04T07:12:00Z</dcterms:created>
  <dcterms:modified xsi:type="dcterms:W3CDTF">2025-05-19T08:35:00Z</dcterms:modified>
</cp:coreProperties>
</file>