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49"/>
        <w:jc w:val="right"/>
        <w:rPr>
          <w:sz w:val="30"/>
        </w:rPr>
      </w:pPr>
      <w:r>
        <w:rPr>
          <w:sz w:val="30"/>
        </w:rPr>
        <w:t xml:space="preserve">проект</w:t>
      </w:r>
      <w:r>
        <w:rPr>
          <w:sz w:val="30"/>
        </w:rPr>
      </w:r>
      <w:r>
        <w:rPr>
          <w:sz w:val="30"/>
        </w:rPr>
      </w:r>
    </w:p>
    <w:p>
      <w:pPr>
        <w:pStyle w:val="849"/>
        <w:rPr>
          <w:sz w:val="30"/>
        </w:rPr>
      </w:pPr>
      <w:r>
        <w:rPr>
          <w:sz w:val="30"/>
        </w:rPr>
      </w:r>
      <w:r>
        <w:rPr>
          <w:sz w:val="30"/>
        </w:rPr>
      </w:r>
      <w:r>
        <w:rPr>
          <w:sz w:val="30"/>
        </w:rPr>
      </w:r>
    </w:p>
    <w:p>
      <w:pPr>
        <w:pStyle w:val="849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975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757"/>
      </w:tblGrid>
      <w:tr>
        <w:tblPrEx/>
        <w:trPr>
          <w:trHeight w:val="212" w:hRule="exact"/>
        </w:trPr>
        <w:tc>
          <w:tcPr>
            <w:tcW w:w="9757" w:type="dxa"/>
            <w:textDirection w:val="lrTb"/>
            <w:noWrap w:val="false"/>
          </w:tcPr>
          <w:p>
            <w:pPr>
              <w:pStyle w:val="849"/>
              <w:jc w:val="center"/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665"/>
        </w:trPr>
        <w:tc>
          <w:tcPr>
            <w:tcW w:w="9757" w:type="dxa"/>
            <w:textDirection w:val="lrTb"/>
            <w:noWrap w:val="false"/>
          </w:tcPr>
          <w:p>
            <w:pPr>
              <w:pStyle w:val="849"/>
              <w:jc w:val="center"/>
              <w:widowControl/>
              <w:tabs>
                <w:tab w:val="clear" w:pos="708" w:leader="none"/>
                <w:tab w:val="left" w:pos="1260" w:leader="none"/>
              </w:tabs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КОМИТЕТ МЕСТНОГО САМОУПРАВЛЕНИЯ</w:t>
            </w:r>
            <w:r>
              <w:rPr>
                <w:b/>
                <w:sz w:val="36"/>
              </w:rPr>
            </w:r>
            <w:r>
              <w:rPr>
                <w:b/>
                <w:sz w:val="36"/>
              </w:rPr>
            </w:r>
          </w:p>
          <w:p>
            <w:pPr>
              <w:pStyle w:val="849"/>
              <w:jc w:val="center"/>
              <w:widowControl/>
            </w:pPr>
            <w:r>
              <w:rPr>
                <w:b/>
                <w:sz w:val="36"/>
              </w:rPr>
              <w:t xml:space="preserve">НЕЧАЕВСКОГО СЕЛЬСОВЕТА </w:t>
            </w:r>
            <w:r/>
          </w:p>
          <w:p>
            <w:pPr>
              <w:pStyle w:val="849"/>
              <w:jc w:val="center"/>
              <w:widowControl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МОКШАНСКОГО РАЙОНА ПЕНЗЕНСКОЙ ОБЛАСТИ</w:t>
            </w:r>
            <w:r>
              <w:rPr>
                <w:b/>
                <w:sz w:val="36"/>
              </w:rPr>
            </w:r>
            <w:r>
              <w:rPr>
                <w:b/>
                <w:sz w:val="36"/>
              </w:rPr>
            </w:r>
          </w:p>
        </w:tc>
      </w:tr>
      <w:tr>
        <w:tblPrEx/>
        <w:trPr>
          <w:trHeight w:val="212" w:hRule="exact"/>
        </w:trPr>
        <w:tc>
          <w:tcPr>
            <w:tcW w:w="9757" w:type="dxa"/>
            <w:textDirection w:val="lrTb"/>
            <w:noWrap w:val="false"/>
          </w:tcPr>
          <w:p>
            <w:pPr>
              <w:pStyle w:val="849"/>
              <w:jc w:val="both"/>
              <w:widowControl/>
              <w:rPr>
                <w:b/>
                <w:sz w:val="24"/>
              </w:rPr>
            </w:pP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76"/>
        </w:trPr>
        <w:tc>
          <w:tcPr>
            <w:tcW w:w="9757" w:type="dxa"/>
            <w:textDirection w:val="lrTb"/>
            <w:noWrap w:val="false"/>
          </w:tcPr>
          <w:p>
            <w:pPr>
              <w:pStyle w:val="852"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  <w:p>
            <w:pPr>
              <w:pStyle w:val="852"/>
              <w:rPr>
                <w:sz w:val="28"/>
              </w:rPr>
            </w:pPr>
            <w:r>
              <w:rPr>
                <w:sz w:val="28"/>
              </w:rPr>
              <w:t xml:space="preserve">Р Е Ш Е Н И Е</w:t>
            </w:r>
            <w:r>
              <w:rPr>
                <w:sz w:val="28"/>
              </w:rPr>
            </w:r>
            <w:r>
              <w:rPr>
                <w:sz w:val="28"/>
              </w:rPr>
            </w:r>
          </w:p>
        </w:tc>
      </w:tr>
      <w:tr>
        <w:tblPrEx/>
        <w:trPr>
          <w:trHeight w:val="43" w:hRule="exact"/>
        </w:trPr>
        <w:tc>
          <w:tcPr>
            <w:tcW w:w="9757" w:type="dxa"/>
            <w:vAlign w:val="center"/>
            <w:textDirection w:val="lrTb"/>
            <w:noWrap w:val="false"/>
          </w:tcPr>
          <w:p>
            <w:pPr>
              <w:pStyle w:val="852"/>
              <w:rPr>
                <w:b/>
                <w:sz w:val="40"/>
              </w:rPr>
            </w:pPr>
            <w:r>
              <w:rPr>
                <w:b/>
                <w:sz w:val="40"/>
              </w:rPr>
            </w:r>
            <w:r>
              <w:rPr>
                <w:b/>
                <w:sz w:val="40"/>
              </w:rPr>
            </w:r>
            <w:r>
              <w:rPr>
                <w:b/>
                <w:sz w:val="40"/>
              </w:rPr>
            </w:r>
          </w:p>
        </w:tc>
      </w:tr>
      <w:tr>
        <w:tblPrEx/>
        <w:trPr>
          <w:trHeight w:val="362" w:hRule="exact"/>
        </w:trPr>
        <w:tc>
          <w:tcPr>
            <w:tcW w:w="9757" w:type="dxa"/>
            <w:textDirection w:val="lrTb"/>
            <w:noWrap w:val="false"/>
          </w:tcPr>
          <w:p>
            <w:pPr>
              <w:pStyle w:val="849"/>
              <w:jc w:val="center"/>
              <w:widowControl/>
              <w:rPr>
                <w:b/>
                <w:sz w:val="28"/>
              </w:rPr>
            </w:pPr>
            <w:r>
              <w:rPr>
                <w:b/>
                <w:sz w:val="28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4300" distR="114300" simplePos="0" relativeHeight="2" behindDoc="0" locked="0" layoutInCell="1" allowOverlap="1">
                      <wp:simplePos x="0" y="0"/>
                      <wp:positionH relativeFrom="margin">
                        <wp:align>center</wp:align>
                      </wp:positionH>
                      <wp:positionV relativeFrom="paragraph">
                        <wp:posOffset>-64135</wp:posOffset>
                      </wp:positionV>
                      <wp:extent cx="2952750" cy="535305"/>
                      <wp:effectExtent l="0" t="0" r="0" b="0"/>
                      <wp:wrapSquare wrapText="bothSides"/>
                      <wp:docPr id="1" name="Frame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 txBox="1"/>
                            <wps:spPr bwMode="auto">
                              <a:xfrm>
                                <a:off x="0" y="0"/>
                                <a:ext cx="2952750" cy="535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</wps:spPr>
                            <wps:txbx>
                              <w:txbxContent>
                                <w:tbl>
                                  <w:tblPr>
                                    <w:tblW w:w="5000" w:type="pct"/>
                                    <w:tblInd w:w="0" w:type="dxa"/>
                                    <w:tblLayout w:type="fixed"/>
                                    <w:tblCellMar>
                                      <w:left w:w="0" w:type="dxa"/>
                                      <w:top w:w="0" w:type="dxa"/>
                                      <w:right w:w="0" w:type="dxa"/>
                                      <w:bottom w:w="0" w:type="dxa"/>
                                    </w:tblCellMar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284"/>
                                    <w:gridCol w:w="2835"/>
                                    <w:gridCol w:w="397"/>
                                    <w:gridCol w:w="1134"/>
                                  </w:tblGrid>
                                  <w:tr>
                                    <w:tblPrEx/>
                                    <w:trPr/>
                                    <w:tc>
                                      <w:tcPr>
                                        <w:tcW w:w="284" w:type="dxa"/>
                                        <w:vAlign w:val="bottom"/>
                                        <w:textDirection w:val="lrTb"/>
                                        <w:noWrap w:val="false"/>
                                      </w:tcPr>
                                      <w:p>
                                        <w:pPr>
                                          <w:pStyle w:val="849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от</w:t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Borders>
                                          <w:bottom w:val="single" w:color="000000" w:sz="6" w:space="0"/>
                                        </w:tcBorders>
                                        <w:tcW w:w="2835" w:type="dxa"/>
                                        <w:textDirection w:val="lrTb"/>
                                        <w:noWrap w:val="false"/>
                                      </w:tcPr>
                                      <w:p>
                                        <w:pPr>
                                          <w:pStyle w:val="849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397" w:type="dxa"/>
                                        <w:textDirection w:val="lrTb"/>
                                        <w:noWrap w:val="false"/>
                                      </w:tcPr>
                                      <w:p>
                                        <w:pPr>
                                          <w:pStyle w:val="849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№</w:t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</w:p>
                                    </w:tc>
                                    <w:tc>
                                      <w:tcPr>
                                        <w:tcBorders>
                                          <w:bottom w:val="single" w:color="000000" w:sz="6" w:space="0"/>
                                        </w:tcBorders>
                                        <w:tcW w:w="1134" w:type="dxa"/>
                                        <w:textDirection w:val="lrTb"/>
                                        <w:noWrap w:val="false"/>
                                      </w:tcPr>
                                      <w:p>
                                        <w:pPr>
                                          <w:pStyle w:val="849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</w:p>
                                    </w:tc>
                                  </w:tr>
                                  <w:tr>
                                    <w:tblPrEx/>
                                    <w:trPr>
                                      <w:trHeight w:val="557"/>
                                    </w:trPr>
                                    <w:tc>
                                      <w:tcPr>
                                        <w:gridSpan w:val="4"/>
                                        <w:tcW w:w="4650" w:type="dxa"/>
                                        <w:textDirection w:val="lrTb"/>
                                        <w:noWrap w:val="false"/>
                                      </w:tcPr>
                                      <w:p>
                                        <w:pPr>
                                          <w:pStyle w:val="849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</w:p>
                                      <w:p>
                                        <w:pPr>
                                          <w:pStyle w:val="849"/>
                                          <w:jc w:val="center"/>
                                          <w:rPr>
                                            <w:sz w:val="24"/>
                                            <w:szCs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  <w:t xml:space="preserve">с.Нечаевка</w:t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  <w:r>
                                          <w:rPr>
                                            <w:sz w:val="24"/>
                                            <w:szCs w:val="24"/>
                                          </w:rPr>
                                        </w:r>
                                      </w:p>
                                    </w:tc>
                                  </w:tr>
                                </w:tbl>
                                <w:p>
                                  <w:r/>
                                  <w:r/>
                                </w:p>
                              </w:txbxContent>
                            </wps:txbx>
                            <wps:bodyPr lIns="0" tIns="0" rIns="0" bIns="0" anchor="t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0" o:spid="_x0000_s0" o:spt="202" type="#_x0000_t202" style="position:absolute;z-index:2;o:allowoverlap:true;o:allowincell:true;mso-position-horizontal-relative:margin;mso-position-horizontal:center;mso-position-vertical-relative:text;margin-top:-5.05pt;mso-position-vertical:absolute;width:232.50pt;height:42.15pt;mso-wrap-distance-left:9.00pt;mso-wrap-distance-top:0.00pt;mso-wrap-distance-right:9.00pt;mso-wrap-distance-bottom:0.00pt;v-text-anchor:top;visibility:visible;" fillcolor="#FFFFFF">
                      <w10:wrap type="square"/>
                      <v:textbox inset="0,0,0,0">
                        <w:txbxContent>
                          <w:tbl>
                            <w:tblPr>
                              <w:tblW w:w="5000" w:type="pct"/>
                              <w:tblInd w:w="0" w:type="dxa"/>
                              <w:tblLayout w:type="fixed"/>
                              <w:tblCellMar>
                                <w:left w:w="0" w:type="dxa"/>
                                <w:top w:w="0" w:type="dxa"/>
                                <w:right w:w="0" w:type="dxa"/>
                                <w:bottom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4"/>
                              <w:gridCol w:w="2835"/>
                              <w:gridCol w:w="397"/>
                              <w:gridCol w:w="1134"/>
                            </w:tblGrid>
                            <w:tr>
                              <w:tblPrEx/>
                              <w:trPr/>
                              <w:tc>
                                <w:tcPr>
                                  <w:tcW w:w="284" w:type="dxa"/>
                                  <w:vAlign w:val="bottom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49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от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2835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49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7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49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№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Borders>
                                    <w:bottom w:val="single" w:color="000000" w:sz="6" w:space="0"/>
                                  </w:tcBorders>
                                  <w:tcW w:w="1134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49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  <w:tr>
                              <w:tblPrEx/>
                              <w:trPr>
                                <w:trHeight w:val="557"/>
                              </w:trPr>
                              <w:tc>
                                <w:tcPr>
                                  <w:gridSpan w:val="4"/>
                                  <w:tcW w:w="4650" w:type="dxa"/>
                                  <w:textDirection w:val="lrTb"/>
                                  <w:noWrap w:val="false"/>
                                </w:tcPr>
                                <w:p>
                                  <w:pPr>
                                    <w:pStyle w:val="849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  <w:p>
                                  <w:pPr>
                                    <w:pStyle w:val="849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 xml:space="preserve">с.Нечаевка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r/>
                            <w:r/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sz w:val="28"/>
              </w:rPr>
            </w:r>
            <w:r>
              <w:rPr>
                <w:b/>
                <w:sz w:val="28"/>
              </w:rPr>
            </w:r>
          </w:p>
        </w:tc>
      </w:tr>
      <w:tr>
        <w:tblPrEx/>
        <w:trPr>
          <w:trHeight w:val="216"/>
        </w:trPr>
        <w:tc>
          <w:tcPr>
            <w:tcW w:w="9757" w:type="dxa"/>
            <w:textDirection w:val="lrTb"/>
            <w:noWrap w:val="false"/>
          </w:tcPr>
          <w:p>
            <w:pPr>
              <w:pStyle w:val="849"/>
              <w:jc w:val="center"/>
              <w:widowControl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</w:p>
        </w:tc>
      </w:tr>
      <w:tr>
        <w:tblPrEx/>
        <w:trPr>
          <w:trHeight w:val="212" w:hRule="exact"/>
        </w:trPr>
        <w:tc>
          <w:tcPr>
            <w:tcW w:w="9757" w:type="dxa"/>
            <w:textDirection w:val="lrTb"/>
            <w:noWrap w:val="false"/>
          </w:tcPr>
          <w:p>
            <w:pPr>
              <w:pStyle w:val="849"/>
              <w:jc w:val="both"/>
              <w:widowControl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</w:p>
        </w:tc>
      </w:tr>
      <w:tr>
        <w:tblPrEx/>
        <w:trPr>
          <w:trHeight w:val="249"/>
        </w:trPr>
        <w:tc>
          <w:tcPr>
            <w:tcW w:w="9757" w:type="dxa"/>
            <w:textDirection w:val="lrTb"/>
            <w:noWrap w:val="false"/>
          </w:tcPr>
          <w:p>
            <w:pPr>
              <w:pStyle w:val="852"/>
              <w:rPr>
                <w:b/>
                <w:sz w:val="10"/>
                <w:szCs w:val="10"/>
              </w:rPr>
            </w:pP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  <w:r>
              <w:rPr>
                <w:b/>
                <w:sz w:val="10"/>
                <w:szCs w:val="10"/>
              </w:rPr>
            </w:r>
          </w:p>
        </w:tc>
      </w:tr>
      <w:tr>
        <w:tblPrEx/>
        <w:trPr>
          <w:trHeight w:val="182" w:hRule="exact"/>
        </w:trPr>
        <w:tc>
          <w:tcPr>
            <w:tcW w:w="9757" w:type="dxa"/>
            <w:vAlign w:val="center"/>
            <w:textDirection w:val="lrTb"/>
            <w:noWrap w:val="false"/>
          </w:tcPr>
          <w:p>
            <w:pPr>
              <w:pStyle w:val="852"/>
              <w:rPr>
                <w:b/>
                <w:sz w:val="40"/>
                <w:szCs w:val="10"/>
              </w:rPr>
            </w:pPr>
            <w:r>
              <w:rPr>
                <w:b/>
                <w:sz w:val="40"/>
                <w:szCs w:val="10"/>
              </w:rPr>
            </w:r>
            <w:r>
              <w:rPr>
                <w:b/>
                <w:sz w:val="40"/>
                <w:szCs w:val="10"/>
              </w:rPr>
            </w:r>
            <w:r>
              <w:rPr>
                <w:b/>
                <w:sz w:val="40"/>
                <w:szCs w:val="10"/>
              </w:rPr>
            </w:r>
          </w:p>
        </w:tc>
      </w:tr>
    </w:tbl>
    <w:p>
      <w:pPr>
        <w:pStyle w:val="850"/>
        <w:ind w:right="43" w:firstLine="0"/>
        <w:jc w:val="center"/>
      </w:pPr>
      <w:r>
        <w:t xml:space="preserve">О внесении изменений в Положение о бюджетном процессе в </w:t>
      </w:r>
      <w:r>
        <w:t xml:space="preserve">Нечаевского сельсовете Мокшанского района Пензенской области, утвержденное решением Комитета местного самоуправления </w:t>
      </w:r>
      <w:r>
        <w:t xml:space="preserve">Нечаевского сельсовета Мокшанского района Пензенской области от </w:t>
      </w:r>
      <w:r>
        <w:t xml:space="preserve">18.03.2022 года № </w:t>
      </w:r>
      <w:r>
        <w:t xml:space="preserve">217-93/7 «Об утверждении Положения о бюджетном процессе в </w:t>
      </w:r>
      <w:r>
        <w:t xml:space="preserve">Нечаевском сельсовете</w:t>
      </w:r>
      <w:r/>
    </w:p>
    <w:p>
      <w:pPr>
        <w:pStyle w:val="850"/>
        <w:ind w:right="43" w:firstLine="0"/>
        <w:jc w:val="center"/>
      </w:pPr>
      <w:r>
        <w:t xml:space="preserve"> </w:t>
      </w:r>
      <w:r>
        <w:t xml:space="preserve">Мокшанского района Пензенской области»</w:t>
      </w:r>
      <w:r/>
    </w:p>
    <w:p>
      <w:pPr>
        <w:pStyle w:val="849"/>
        <w:rPr>
          <w:b/>
          <w:i/>
          <w:sz w:val="28"/>
          <w:szCs w:val="28"/>
          <w:lang w:eastAsia="en-US"/>
        </w:rPr>
      </w:pPr>
      <w:r>
        <w:rPr>
          <w:b/>
          <w:i/>
          <w:sz w:val="28"/>
          <w:szCs w:val="28"/>
          <w:lang w:eastAsia="en-US"/>
        </w:rPr>
      </w:r>
      <w:r>
        <w:rPr>
          <w:b/>
          <w:i/>
          <w:sz w:val="28"/>
          <w:szCs w:val="28"/>
          <w:lang w:eastAsia="en-US"/>
        </w:rPr>
      </w:r>
      <w:r>
        <w:rPr>
          <w:b/>
          <w:i/>
          <w:sz w:val="28"/>
          <w:szCs w:val="28"/>
          <w:lang w:eastAsia="en-US"/>
        </w:rPr>
      </w:r>
    </w:p>
    <w:p>
      <w:pPr>
        <w:pStyle w:val="849"/>
        <w:ind w:firstLine="708"/>
        <w:jc w:val="both"/>
      </w:pPr>
      <w:r>
        <w:rPr>
          <w:sz w:val="27"/>
          <w:szCs w:val="27"/>
        </w:rPr>
        <w:t xml:space="preserve">В соответствии с Бюджетным кодексом Российской Федерации,  руководствуясь Уставом сельского поселения </w:t>
      </w:r>
      <w:r>
        <w:rPr>
          <w:sz w:val="27"/>
          <w:szCs w:val="27"/>
        </w:rPr>
        <w:t xml:space="preserve">Нечаевский сельсовет муниципального района  Мокшанский район Пензенской области,</w:t>
      </w:r>
      <w:r/>
    </w:p>
    <w:p>
      <w:pPr>
        <w:pStyle w:val="849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9"/>
        <w:ind w:firstLine="708"/>
        <w:jc w:val="center"/>
      </w:pPr>
      <w:r>
        <w:rPr>
          <w:b/>
          <w:sz w:val="27"/>
          <w:szCs w:val="27"/>
        </w:rPr>
        <w:t xml:space="preserve">Комитет местного самоуправления </w:t>
      </w:r>
      <w:r>
        <w:rPr>
          <w:b/>
          <w:sz w:val="27"/>
          <w:szCs w:val="27"/>
        </w:rPr>
        <w:t xml:space="preserve">Нечаевского сельсовета</w:t>
      </w:r>
      <w:r>
        <w:rPr>
          <w:sz w:val="27"/>
          <w:szCs w:val="27"/>
        </w:rPr>
        <w:t xml:space="preserve"> </w:t>
      </w:r>
      <w:r>
        <w:rPr>
          <w:b/>
          <w:sz w:val="27"/>
          <w:szCs w:val="27"/>
        </w:rPr>
        <w:t xml:space="preserve">решил:</w:t>
      </w:r>
      <w:r/>
    </w:p>
    <w:p>
      <w:pPr>
        <w:pStyle w:val="878"/>
        <w:ind w:firstLine="709"/>
        <w:jc w:val="both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  <w:r>
        <w:rPr>
          <w:rFonts w:ascii="Times New Roman" w:hAnsi="Times New Roman" w:cs="Times New Roman"/>
          <w:b/>
          <w:sz w:val="27"/>
          <w:szCs w:val="27"/>
        </w:rPr>
      </w:r>
    </w:p>
    <w:p>
      <w:pPr>
        <w:pStyle w:val="850"/>
        <w:ind w:right="43" w:firstLine="709"/>
        <w:jc w:val="both"/>
      </w:pPr>
      <w:r>
        <w:rPr>
          <w:b w:val="0"/>
          <w:sz w:val="27"/>
          <w:szCs w:val="27"/>
        </w:rPr>
        <w:t xml:space="preserve">1. </w:t>
      </w:r>
      <w:r>
        <w:rPr>
          <w:b w:val="0"/>
          <w:sz w:val="27"/>
          <w:szCs w:val="27"/>
          <w:lang w:eastAsia="en-US"/>
        </w:rPr>
        <w:t xml:space="preserve">Внести следующие изменения в Положение о бюджетном процессе в </w:t>
      </w:r>
      <w:r>
        <w:rPr>
          <w:b w:val="0"/>
          <w:sz w:val="27"/>
          <w:szCs w:val="27"/>
        </w:rPr>
        <w:t xml:space="preserve">Нечаевском сельсовете</w:t>
      </w:r>
      <w:r>
        <w:rPr>
          <w:b w:val="0"/>
          <w:sz w:val="27"/>
          <w:szCs w:val="27"/>
          <w:lang w:eastAsia="en-US"/>
        </w:rPr>
        <w:t xml:space="preserve"> Мокшанском районе Пензенской области, утвержденное</w:t>
      </w:r>
      <w:r>
        <w:rPr>
          <w:b w:val="0"/>
          <w:sz w:val="27"/>
          <w:szCs w:val="27"/>
        </w:rPr>
        <w:t xml:space="preserve"> решением Комитета местного самоуправления </w:t>
      </w:r>
      <w:r>
        <w:rPr>
          <w:b w:val="0"/>
          <w:sz w:val="27"/>
          <w:szCs w:val="27"/>
        </w:rPr>
        <w:t xml:space="preserve">Нечаевского сельсовета Мокшанского района Пензенской области от </w:t>
      </w:r>
      <w:r>
        <w:rPr>
          <w:b w:val="0"/>
          <w:sz w:val="27"/>
          <w:szCs w:val="27"/>
        </w:rPr>
        <w:t xml:space="preserve">18.03.2022 года № </w:t>
      </w:r>
      <w:r>
        <w:rPr>
          <w:b w:val="0"/>
          <w:sz w:val="27"/>
          <w:szCs w:val="27"/>
        </w:rPr>
        <w:t xml:space="preserve">217-93/7 (далее – Положение):</w:t>
      </w:r>
      <w:r/>
    </w:p>
    <w:p>
      <w:pPr>
        <w:pStyle w:val="849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1.1 </w:t>
      </w:r>
      <w:r>
        <w:rPr>
          <w:sz w:val="28"/>
          <w:szCs w:val="28"/>
        </w:rPr>
        <w:t xml:space="preserve">подпункт </w:t>
      </w:r>
      <w:r>
        <w:rPr>
          <w:sz w:val="27"/>
          <w:szCs w:val="27"/>
        </w:rPr>
        <w:t xml:space="preserve">26 </w:t>
      </w:r>
      <w:r>
        <w:rPr>
          <w:sz w:val="28"/>
          <w:szCs w:val="28"/>
        </w:rPr>
        <w:t xml:space="preserve">пункта </w:t>
      </w:r>
      <w:r>
        <w:rPr>
          <w:sz w:val="27"/>
          <w:szCs w:val="27"/>
        </w:rPr>
        <w:t xml:space="preserve">2 статьи 15 изложить в следующей редакции: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93"/>
        <w:ind w:firstLine="633"/>
        <w:jc w:val="both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« 26) дополнительно к основ</w:t>
      </w:r>
      <w:r>
        <w:rPr>
          <w:color w:val="000000"/>
          <w:sz w:val="27"/>
          <w:szCs w:val="27"/>
        </w:rPr>
        <w:t xml:space="preserve">ан</w:t>
      </w:r>
      <w:r>
        <w:rPr>
          <w:color w:val="000000"/>
          <w:sz w:val="27"/>
          <w:szCs w:val="27"/>
        </w:rPr>
        <w:t xml:space="preserve">иям, установленным пунктом 3 статьи 217 Бюджетного кодекса Российской Федерации, может осуществлять внесение изменений в сводную бюджетную роспись Нечаевского сельсовета Мокшанского района без внесения изменений в решение о бюджете по следующим основаниям:</w:t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93"/>
        <w:ind w:firstLine="633"/>
        <w:jc w:val="both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а) в случае перераспределения бюджетных</w:t>
      </w:r>
      <w:r>
        <w:rPr>
          <w:color w:val="000000"/>
          <w:sz w:val="27"/>
          <w:szCs w:val="27"/>
        </w:rPr>
        <w:t xml:space="preserve"> ассигнований в связи с внесением изменений в муниципальные программы Засечного сельсовета Мокшанского района в пределах, утвержденных решением о бюджете объемов бюджетных ассигнований на реализацию муниципальных программ на соответствующий финансовый год;</w:t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93"/>
        <w:ind w:firstLine="633"/>
        <w:jc w:val="both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б) в случае приведения кодов бюджетной классификации расходов и источников финансирования дефицита бюджета в соответствие с бюджетной классификацией Российской Федерации;</w:t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93"/>
        <w:ind w:firstLine="633"/>
        <w:jc w:val="both"/>
        <w:spacing w:before="0" w:after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в) в случае перераспределения бюджетных ассигнован</w:t>
      </w:r>
      <w:r>
        <w:rPr>
          <w:color w:val="000000"/>
          <w:sz w:val="27"/>
          <w:szCs w:val="27"/>
        </w:rPr>
        <w:t xml:space="preserve">ий в пределах, предусмотренных главным распорядителям средств бюджета на предоставление бюджетным и автономным учреждениям субсидий на финансовое обеспечение муниципального задания на оказание муниципальных услуг (выполнение работ) и субсидий на иные цели;</w:t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49"/>
        <w:ind w:firstLine="633"/>
        <w:jc w:val="both"/>
      </w:pPr>
      <w:r>
        <w:rPr>
          <w:color w:val="000000"/>
          <w:sz w:val="27"/>
          <w:szCs w:val="27"/>
        </w:rPr>
        <w:t xml:space="preserve">г) в случае перераспредел</w:t>
      </w:r>
      <w:r>
        <w:rPr>
          <w:color w:val="000000"/>
          <w:sz w:val="27"/>
          <w:szCs w:val="27"/>
        </w:rPr>
        <w:t xml:space="preserve">ения бюджетных ассигнований между подгруппами вида расходов классификации расходов бюджетов в пределах общего объема бюджетных ассигнований, предусмотренных главному распорядителю средств бюджета по соответствующей целевой статье (муниципальным программам </w:t>
      </w:r>
      <w:r>
        <w:rPr>
          <w:color w:val="000000"/>
          <w:sz w:val="27"/>
          <w:szCs w:val="27"/>
          <w:highlight w:val="none"/>
        </w:rPr>
        <w:t xml:space="preserve">Нечаевского</w:t>
      </w:r>
      <w:r>
        <w:rPr>
          <w:color w:val="000000"/>
          <w:sz w:val="27"/>
          <w:szCs w:val="27"/>
        </w:rPr>
        <w:t xml:space="preserve"> сельсовета Мокшанского района и непрограммным направлениям деятельности) и группе вида расходов классификации расходов бюджетов;</w:t>
      </w:r>
      <w:r/>
    </w:p>
    <w:p>
      <w:pPr>
        <w:pStyle w:val="849"/>
        <w:ind w:firstLine="540"/>
        <w:jc w:val="both"/>
      </w:pPr>
      <w:r>
        <w:rPr>
          <w:color w:val="000000"/>
          <w:sz w:val="27"/>
          <w:szCs w:val="27"/>
        </w:rPr>
        <w:t xml:space="preserve">д) в случае перераспределения бюджетных ассигнований между видами источников финансирования дефицита бюджета в ходе исполнения бюджета </w:t>
      </w:r>
      <w:r>
        <w:rPr>
          <w:color w:val="000000"/>
          <w:sz w:val="27"/>
          <w:szCs w:val="27"/>
        </w:rPr>
        <w:t xml:space="preserve">Нечаевского сельсовета Мокшанского района в пределах общего объема бюджетных ассигнований по источникам финансирования дефицита бюджета </w:t>
      </w:r>
      <w:r>
        <w:rPr>
          <w:color w:val="000000"/>
          <w:sz w:val="27"/>
          <w:szCs w:val="27"/>
          <w:highlight w:val="none"/>
        </w:rPr>
        <w:t xml:space="preserve">Нечаевского</w:t>
      </w:r>
      <w:r>
        <w:rPr>
          <w:color w:val="000000"/>
          <w:sz w:val="27"/>
          <w:szCs w:val="27"/>
        </w:rPr>
        <w:t xml:space="preserve"> сельсовета Мокшанского района, предусмотренных на соответствующий финансовый год.</w:t>
      </w:r>
      <w:r/>
    </w:p>
    <w:p>
      <w:pPr>
        <w:pStyle w:val="849"/>
        <w:ind w:firstLine="633"/>
        <w:jc w:val="both"/>
      </w:pPr>
      <w:r>
        <w:rPr>
          <w:color w:val="000000"/>
          <w:sz w:val="27"/>
          <w:szCs w:val="27"/>
        </w:rPr>
        <w:t xml:space="preserve">е) в случае перераспределения бюджетных ассигнований в пределах утвержденного решением</w:t>
      </w:r>
      <w:r>
        <w:rPr>
          <w:b/>
          <w:sz w:val="27"/>
          <w:szCs w:val="27"/>
        </w:rPr>
        <w:t xml:space="preserve"> </w:t>
      </w:r>
      <w:r>
        <w:rPr>
          <w:sz w:val="27"/>
          <w:szCs w:val="27"/>
        </w:rPr>
        <w:t xml:space="preserve">Комитета местного самоуправления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Нечаевского сельсовета</w:t>
      </w:r>
      <w:r>
        <w:rPr>
          <w:color w:val="000000"/>
          <w:sz w:val="27"/>
          <w:szCs w:val="27"/>
        </w:rPr>
        <w:t xml:space="preserve"> Мокшанского района о бюджете </w:t>
      </w:r>
      <w:r>
        <w:rPr>
          <w:color w:val="000000"/>
          <w:sz w:val="27"/>
          <w:szCs w:val="27"/>
        </w:rPr>
        <w:t xml:space="preserve">Нечаевского сельсовета</w:t>
      </w:r>
      <w:r>
        <w:rPr>
          <w:color w:val="000000"/>
          <w:sz w:val="27"/>
          <w:szCs w:val="27"/>
        </w:rPr>
        <w:t xml:space="preserve"> Мокшанского района на очередной финансовый год и на плановый период общего объема бюджетных ассигнований, предусмотренных по целевой статье расходов (муниципальной программе </w:t>
      </w:r>
      <w:r>
        <w:rPr>
          <w:color w:val="000000"/>
          <w:sz w:val="27"/>
          <w:szCs w:val="27"/>
        </w:rPr>
        <w:t xml:space="preserve">Нечаевского сельсовета</w:t>
      </w:r>
      <w:r>
        <w:rPr>
          <w:color w:val="000000"/>
          <w:sz w:val="27"/>
          <w:szCs w:val="27"/>
        </w:rPr>
        <w:t xml:space="preserve"> Мокшанского района Пензенской области и непрограммному направлению деятельности), между разделами, подразделами, группами и (или) подгруппами видов расходов;</w:t>
      </w:r>
      <w:r/>
    </w:p>
    <w:p>
      <w:pPr>
        <w:pStyle w:val="849"/>
        <w:ind w:firstLine="633"/>
        <w:jc w:val="both"/>
      </w:pPr>
      <w:r>
        <w:rPr>
          <w:color w:val="000000"/>
          <w:sz w:val="27"/>
          <w:szCs w:val="27"/>
        </w:rPr>
        <w:t xml:space="preserve">ж) в случае поступления в администрацию </w:t>
      </w:r>
      <w:r>
        <w:rPr>
          <w:color w:val="000000"/>
          <w:sz w:val="27"/>
          <w:szCs w:val="27"/>
        </w:rPr>
        <w:t xml:space="preserve">Нечаевского сельсовета</w:t>
      </w:r>
      <w:r>
        <w:rPr>
          <w:color w:val="000000"/>
          <w:sz w:val="27"/>
          <w:szCs w:val="27"/>
        </w:rPr>
        <w:t xml:space="preserve"> Мокшанского района уведомлений по расчетам между бюджетами, актов и иных документов, подтверждающих изменение бюджетных ассигнований на предоставление целевых межбюджетных трансфертов бюджету </w:t>
      </w:r>
      <w:r>
        <w:rPr>
          <w:color w:val="000000"/>
          <w:sz w:val="27"/>
          <w:szCs w:val="27"/>
        </w:rPr>
        <w:t xml:space="preserve">Нечаевского сельсовета</w:t>
      </w:r>
      <w:r>
        <w:rPr>
          <w:color w:val="000000"/>
          <w:sz w:val="27"/>
          <w:szCs w:val="27"/>
        </w:rPr>
        <w:t xml:space="preserve"> Мокшанского района из других бюджетов бюджетной системы Российской Федерации.</w:t>
      </w:r>
      <w:r/>
    </w:p>
    <w:p>
      <w:pPr>
        <w:pStyle w:val="849"/>
        <w:ind w:firstLine="540"/>
        <w:jc w:val="both"/>
      </w:pPr>
      <w:r>
        <w:rPr>
          <w:color w:val="000000"/>
          <w:sz w:val="27"/>
          <w:szCs w:val="27"/>
        </w:rPr>
        <w:t xml:space="preserve">При внесении изменений в сводную бюджетную роспись бюджета </w:t>
      </w:r>
      <w:r>
        <w:rPr>
          <w:color w:val="000000"/>
          <w:sz w:val="27"/>
          <w:szCs w:val="27"/>
        </w:rPr>
        <w:t xml:space="preserve">Нечаевского сельсовета</w:t>
      </w:r>
      <w:r>
        <w:rPr>
          <w:color w:val="000000"/>
          <w:sz w:val="27"/>
          <w:szCs w:val="27"/>
        </w:rPr>
        <w:t xml:space="preserve"> Мокшанского района уменьшение бюджетных ассигнований, предусмотренных на исполнение публичных нормативных обязательств и обслуживание муниципального долга, для увеличения иных бюджетных ассигнований без внесения изменений в решение </w:t>
      </w:r>
      <w:r>
        <w:rPr>
          <w:sz w:val="27"/>
          <w:szCs w:val="27"/>
        </w:rPr>
        <w:t xml:space="preserve">Комитета местного самоуправления</w:t>
      </w:r>
      <w:r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Нечаевского сельсовета</w:t>
      </w:r>
      <w:r>
        <w:rPr>
          <w:color w:val="000000"/>
          <w:sz w:val="27"/>
          <w:szCs w:val="27"/>
        </w:rPr>
        <w:t xml:space="preserve"> Мокшанского района о бюджете </w:t>
      </w:r>
      <w:r>
        <w:rPr>
          <w:color w:val="000000"/>
          <w:sz w:val="27"/>
          <w:szCs w:val="27"/>
        </w:rPr>
        <w:t xml:space="preserve">Нечаевского сельсовета</w:t>
      </w:r>
      <w:r>
        <w:rPr>
          <w:color w:val="000000"/>
          <w:sz w:val="27"/>
          <w:szCs w:val="27"/>
        </w:rPr>
        <w:t xml:space="preserve"> Мокшанского района не допускается.</w:t>
      </w:r>
      <w:r/>
    </w:p>
    <w:p>
      <w:pPr>
        <w:pStyle w:val="849"/>
        <w:ind w:firstLine="540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з) в случае увеличения (уменьшения) бюджету </w:t>
      </w:r>
      <w:r>
        <w:rPr>
          <w:color w:val="000000"/>
          <w:sz w:val="27"/>
          <w:szCs w:val="27"/>
        </w:rPr>
        <w:t xml:space="preserve">Нечаевского сельсовета</w:t>
      </w:r>
      <w:r>
        <w:rPr>
          <w:color w:val="000000"/>
          <w:sz w:val="27"/>
          <w:szCs w:val="27"/>
        </w:rPr>
        <w:t xml:space="preserve"> Мокшанского района в соответствии</w:t>
      </w:r>
      <w:r>
        <w:rPr>
          <w:color w:val="000000"/>
          <w:sz w:val="27"/>
          <w:szCs w:val="27"/>
        </w:rPr>
        <w:t xml:space="preserve"> с законом Пензенской области о бюджете Пензенской области на текущий финансовый год и плановый период и (или) актом Правительства Пензенской области дотации на поддержку мер по обеспечению сбалансированности местных бюджетов из бюджета Пензенской области.</w:t>
      </w:r>
      <w:r>
        <w:rPr>
          <w:color w:val="000000"/>
          <w:sz w:val="27"/>
          <w:szCs w:val="27"/>
        </w:rPr>
      </w:r>
      <w:r>
        <w:rPr>
          <w:color w:val="000000"/>
          <w:sz w:val="27"/>
          <w:szCs w:val="27"/>
        </w:rPr>
      </w:r>
    </w:p>
    <w:p>
      <w:pPr>
        <w:pStyle w:val="849"/>
        <w:ind w:firstLine="540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и) в случае перераспределения бюджетных ассигнований, направленных на финансовое обеспечение мероприятий, связанных с</w:t>
      </w:r>
      <w:r>
        <w:rPr>
          <w:color w:val="000000"/>
          <w:sz w:val="27"/>
          <w:szCs w:val="27"/>
        </w:rPr>
        <w:t xml:space="preserve"> предотвращением влияния ухудшения геополитической и экономической ситуации на развитие отраслей экономики, и дополнительных мероприятий в сфере национальной обороны и национальной безопасности, включая осуществление мер социальной поддержки отдельных кате</w:t>
      </w:r>
      <w:r>
        <w:rPr>
          <w:color w:val="000000"/>
          <w:sz w:val="27"/>
          <w:szCs w:val="27"/>
        </w:rPr>
        <w:t xml:space="preserve">горий граждан, а также мероприятий, связанных с ликвидацией чрезвычайных ситуаций федерального и межрегионального характера и их последствий, направленных на проведение неотложных аварийно-восстановительных работ и оказание мер социальной поддержки граждан</w:t>
      </w:r>
      <w:r>
        <w:rPr>
          <w:color w:val="000000"/>
          <w:sz w:val="27"/>
          <w:szCs w:val="27"/>
        </w:rPr>
        <w:t xml:space="preserve">, в том числе граждан, жилые помещения которых утрачены и (или) повреждены (за исключением мероприятий, источником финансового обеспечения которых являются межбюджетные трансферты из иных бюджетов бюджетной системы Российской Федерации), и на цели, определ</w:t>
      </w:r>
      <w:r>
        <w:rPr>
          <w:color w:val="000000"/>
          <w:sz w:val="27"/>
          <w:szCs w:val="27"/>
        </w:rPr>
        <w:t xml:space="preserve">енные высшим исполнительным органом субъекта Российской Федерации (местной администрацией), а также в случае перераспределения бюджетных ассигнований между видами источников финансирования дефицита бюджета субъекта Российской Федерации (местного бюджета).»</w:t>
      </w:r>
      <w:r>
        <w:rPr>
          <w:rFonts w:ascii="Arial" w:hAnsi="Arial" w:cs="Arial"/>
          <w:color w:val="000000"/>
          <w:sz w:val="27"/>
          <w:szCs w:val="27"/>
        </w:rPr>
      </w:r>
      <w:r>
        <w:rPr>
          <w:rFonts w:ascii="Arial" w:hAnsi="Arial" w:cs="Arial"/>
          <w:color w:val="000000"/>
          <w:sz w:val="27"/>
          <w:szCs w:val="27"/>
        </w:rPr>
      </w:r>
    </w:p>
    <w:p>
      <w:pPr>
        <w:pStyle w:val="849"/>
        <w:ind w:firstLine="708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</w:r>
      <w:r>
        <w:rPr>
          <w:rFonts w:ascii="Arial" w:hAnsi="Arial" w:cs="Arial"/>
          <w:color w:val="000000"/>
          <w:sz w:val="27"/>
          <w:szCs w:val="27"/>
        </w:rPr>
      </w:r>
      <w:r>
        <w:rPr>
          <w:rFonts w:ascii="Arial" w:hAnsi="Arial" w:cs="Arial"/>
          <w:color w:val="000000"/>
          <w:sz w:val="27"/>
          <w:szCs w:val="27"/>
        </w:rPr>
      </w:r>
    </w:p>
    <w:p>
      <w:pPr>
        <w:pStyle w:val="849"/>
        <w:ind w:firstLine="708"/>
        <w:jc w:val="both"/>
        <w:rPr>
          <w:sz w:val="27"/>
          <w:szCs w:val="27"/>
          <w:lang w:eastAsia="en-US"/>
        </w:rPr>
      </w:pPr>
      <w:r>
        <w:rPr>
          <w:sz w:val="27"/>
          <w:szCs w:val="27"/>
        </w:rPr>
        <w:t xml:space="preserve">2. Настоящее решение опубликовать в информационном бюллетене «Вести Нечаевского сельсовета».</w:t>
      </w:r>
      <w:r>
        <w:rPr>
          <w:sz w:val="27"/>
          <w:szCs w:val="27"/>
          <w:lang w:eastAsia="en-US"/>
        </w:rPr>
      </w:r>
      <w:r>
        <w:rPr>
          <w:sz w:val="27"/>
          <w:szCs w:val="27"/>
          <w:lang w:eastAsia="en-US"/>
        </w:rPr>
      </w:r>
    </w:p>
    <w:p>
      <w:pPr>
        <w:pStyle w:val="849"/>
        <w:ind w:firstLine="708"/>
        <w:jc w:val="both"/>
        <w:widowControl/>
        <w:rPr>
          <w:sz w:val="27"/>
          <w:szCs w:val="27"/>
        </w:rPr>
      </w:pPr>
      <w:r>
        <w:rPr>
          <w:sz w:val="27"/>
          <w:szCs w:val="27"/>
        </w:rPr>
        <w:t xml:space="preserve">3. Настоящее решение вступает в силу на следующий день после дня его официального опубликования, за исключением пп. «и», который распространяется на правоотношения, возникшие с 01.01.2025 г. и действует по 31.12.2025 г. включительно.</w:t>
      </w:r>
      <w:r>
        <w:rPr>
          <w:sz w:val="27"/>
          <w:szCs w:val="27"/>
        </w:rPr>
      </w:r>
      <w:r>
        <w:rPr>
          <w:sz w:val="27"/>
          <w:szCs w:val="27"/>
        </w:rPr>
      </w:r>
    </w:p>
    <w:p>
      <w:pPr>
        <w:pStyle w:val="849"/>
        <w:ind w:firstLine="708"/>
        <w:jc w:val="both"/>
        <w:widowControl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</w:t>
      </w:r>
      <w:r>
        <w:rPr>
          <w:b/>
          <w:sz w:val="28"/>
          <w:szCs w:val="28"/>
        </w:rPr>
        <w:t xml:space="preserve">Нечаевского сельсовета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both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Мокшанского района </w:t>
      </w:r>
      <w:r>
        <w:rPr>
          <w:b/>
          <w:bCs/>
          <w:sz w:val="28"/>
          <w:szCs w:val="28"/>
        </w:rPr>
      </w:r>
    </w:p>
    <w:p>
      <w:pPr>
        <w:jc w:val="both"/>
      </w:pPr>
      <w:r>
        <w:rPr>
          <w:b/>
          <w:sz w:val="28"/>
          <w:szCs w:val="28"/>
        </w:rPr>
        <w:t xml:space="preserve">Пензенской области                                                                    В.В. Архипов</w:t>
      </w:r>
      <w:r/>
    </w:p>
    <w:p>
      <w:pPr>
        <w:pStyle w:val="849"/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4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footerReference w:type="default" r:id="rId9"/>
      <w:footnotePr/>
      <w:endnotePr/>
      <w:type w:val="nextPage"/>
      <w:pgSz w:w="11906" w:h="16838" w:orient="portrait"/>
      <w:pgMar w:top="709" w:right="707" w:bottom="568" w:left="1276" w:header="0" w:footer="223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Tahoma">
    <w:panose1 w:val="020B0506030602030204"/>
  </w:font>
  <w:font w:name="Symbol">
    <w:panose1 w:val="05010000000000000000"/>
  </w:font>
  <w:font w:name="Arial">
    <w:panose1 w:val="020B0604020202020204"/>
  </w:font>
  <w:font w:name="DejaVu Sans">
    <w:panose1 w:val="020B0603030804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right"/>
    </w:pPr>
    <w:r>
      <w:fldChar w:fldCharType="begin"/>
    </w:r>
    <w:r>
      <w:instrText xml:space="preserve"> PAGE </w:instrText>
    </w:r>
    <w:r>
      <w:fldChar w:fldCharType="separate"/>
    </w:r>
    <w:r>
      <w:t xml:space="preserve">3</w:t>
    </w:r>
    <w:r>
      <w:fldChar w:fldCharType="end"/>
    </w:r>
    <w:r/>
  </w:p>
  <w:p>
    <w:pPr>
      <w:pStyle w:val="892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none"/>
      <w:pStyle w:val="850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pStyle w:val="851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pStyle w:val="852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pStyle w:val="853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pStyle w:val="854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pStyle w:val="855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pStyle w:val="888"/>
      <w:isLgl w:val="false"/>
      <w:suff w:val="tab"/>
      <w:lvlText w:val=""/>
      <w:lvlJc w:val="left"/>
      <w:pPr>
        <w:ind w:left="624" w:hanging="340"/>
        <w:tabs>
          <w:tab w:val="num" w:pos="644" w:leader="none"/>
        </w:tabs>
      </w:pPr>
      <w:rPr>
        <w:rFonts w:hint="default" w:ascii="Symbol" w:hAnsi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none"/>
      <w:pStyle w:val="889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  <w:rPr>
        <w:sz w:val="24"/>
      </w:rPr>
    </w:lvl>
    <w:lvl w:ilvl="2">
      <w:start w:val="1"/>
      <w:numFmt w:val="decimal"/>
      <w:isLgl w:val="false"/>
      <w:suff w:val="space"/>
      <w:lvlText w:val="Глава %3."/>
      <w:lvlJc w:val="left"/>
      <w:pPr>
        <w:ind w:left="1701" w:hanging="1134"/>
        <w:tabs>
          <w:tab w:val="num" w:pos="0" w:leader="none"/>
        </w:tabs>
      </w:pPr>
      <w:rPr>
        <w:b/>
        <w:i w:val="0"/>
        <w:sz w:val="28"/>
        <w:szCs w:val="28"/>
      </w:rPr>
    </w:lvl>
    <w:lvl w:ilvl="3">
      <w:start w:val="1"/>
      <w:numFmt w:val="decimal"/>
      <w:isLgl w:val="false"/>
      <w:suff w:val="nothing"/>
      <w:lvlText w:val="Статья %4"/>
      <w:lvlJc w:val="left"/>
      <w:pPr>
        <w:ind w:left="1701" w:hanging="1134"/>
        <w:tabs>
          <w:tab w:val="num" w:pos="0" w:leader="none"/>
        </w:tabs>
      </w:pPr>
      <w:rPr>
        <w:b/>
        <w:i w:val="0"/>
        <w:sz w:val="24"/>
        <w:szCs w:val="24"/>
      </w:rPr>
    </w:lvl>
    <w:lvl w:ilvl="4">
      <w:start w:val="1"/>
      <w:numFmt w:val="none"/>
      <w:isLgl w:val="false"/>
      <w:suff w:val="nothing"/>
      <w:lvlText w:val="%5"/>
      <w:lvlJc w:val="left"/>
      <w:pPr>
        <w:ind w:left="284" w:firstLine="0"/>
        <w:tabs>
          <w:tab w:val="num" w:pos="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0" w:firstLine="567"/>
        <w:tabs>
          <w:tab w:val="num" w:pos="927" w:leader="none"/>
        </w:tabs>
      </w:pPr>
    </w:lvl>
    <w:lvl w:ilvl="6">
      <w:start w:val="1"/>
      <w:numFmt w:val="decimal"/>
      <w:isLgl w:val="false"/>
      <w:suff w:val="space"/>
      <w:lvlText w:val="%7) "/>
      <w:lvlJc w:val="left"/>
      <w:pPr>
        <w:ind w:left="344" w:firstLine="283"/>
        <w:tabs>
          <w:tab w:val="num" w:pos="0" w:leader="none"/>
        </w:tabs>
      </w:pPr>
    </w:lvl>
    <w:lvl w:ilvl="7">
      <w:start w:val="1"/>
      <w:numFmt w:val="russianLower"/>
      <w:isLgl w:val="false"/>
      <w:suff w:val="space"/>
      <w:lvlText w:val="%8)"/>
      <w:lvlJc w:val="left"/>
      <w:pPr>
        <w:ind w:left="567" w:firstLine="284"/>
        <w:tabs>
          <w:tab w:val="num" w:pos="0" w:leader="none"/>
        </w:tabs>
      </w:pPr>
      <w:rPr>
        <w:b w:val="0"/>
        <w:i w:val="0"/>
        <w:sz w:val="24"/>
        <w:szCs w:val="24"/>
      </w:rPr>
    </w:lvl>
    <w:lvl w:ilvl="8">
      <w:start w:val="1"/>
      <w:numFmt w:val="none"/>
      <w:isLgl w:val="false"/>
      <w:suff w:val="nothing"/>
      <w:lvlText w:val=""/>
      <w:lvlJc w:val="left"/>
      <w:pPr>
        <w:ind w:left="284" w:firstLine="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upperRoman"/>
      <w:pStyle w:val="882"/>
      <w:isLgl w:val="false"/>
      <w:suff w:val="tab"/>
      <w:lvlText w:val="%1."/>
      <w:lvlJc w:val="right"/>
      <w:pPr>
        <w:ind w:left="1315" w:hanging="180"/>
        <w:tabs>
          <w:tab w:val="num" w:pos="1315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DejaVu Sans" w:cs="DejaVu Sans"/>
        <w:sz w:val="24"/>
        <w:szCs w:val="24"/>
        <w:lang w:val="en-US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0">
    <w:name w:val="Heading 1 Char"/>
    <w:link w:val="850"/>
    <w:uiPriority w:val="9"/>
    <w:rPr>
      <w:rFonts w:ascii="Arial" w:hAnsi="Arial" w:eastAsia="Arial" w:cs="Arial"/>
      <w:sz w:val="40"/>
      <w:szCs w:val="40"/>
    </w:rPr>
  </w:style>
  <w:style w:type="character" w:styleId="681">
    <w:name w:val="Heading 2 Char"/>
    <w:link w:val="851"/>
    <w:uiPriority w:val="9"/>
    <w:rPr>
      <w:rFonts w:ascii="Arial" w:hAnsi="Arial" w:eastAsia="Arial" w:cs="Arial"/>
      <w:sz w:val="34"/>
    </w:rPr>
  </w:style>
  <w:style w:type="character" w:styleId="682">
    <w:name w:val="Heading 3 Char"/>
    <w:link w:val="852"/>
    <w:uiPriority w:val="9"/>
    <w:rPr>
      <w:rFonts w:ascii="Arial" w:hAnsi="Arial" w:eastAsia="Arial" w:cs="Arial"/>
      <w:sz w:val="30"/>
      <w:szCs w:val="30"/>
    </w:rPr>
  </w:style>
  <w:style w:type="character" w:styleId="683">
    <w:name w:val="Heading 4 Char"/>
    <w:link w:val="853"/>
    <w:uiPriority w:val="9"/>
    <w:rPr>
      <w:rFonts w:ascii="Arial" w:hAnsi="Arial" w:eastAsia="Arial" w:cs="Arial"/>
      <w:b/>
      <w:bCs/>
      <w:sz w:val="26"/>
      <w:szCs w:val="26"/>
    </w:rPr>
  </w:style>
  <w:style w:type="character" w:styleId="684">
    <w:name w:val="Heading 5 Char"/>
    <w:link w:val="854"/>
    <w:uiPriority w:val="9"/>
    <w:rPr>
      <w:rFonts w:ascii="Arial" w:hAnsi="Arial" w:eastAsia="Arial" w:cs="Arial"/>
      <w:b/>
      <w:bCs/>
      <w:sz w:val="24"/>
      <w:szCs w:val="24"/>
    </w:rPr>
  </w:style>
  <w:style w:type="character" w:styleId="685">
    <w:name w:val="Heading 6 Char"/>
    <w:link w:val="855"/>
    <w:uiPriority w:val="9"/>
    <w:rPr>
      <w:rFonts w:ascii="Arial" w:hAnsi="Arial" w:eastAsia="Arial" w:cs="Arial"/>
      <w:b/>
      <w:bCs/>
      <w:sz w:val="22"/>
      <w:szCs w:val="22"/>
    </w:rPr>
  </w:style>
  <w:style w:type="paragraph" w:styleId="686">
    <w:name w:val="Heading 7"/>
    <w:basedOn w:val="849"/>
    <w:next w:val="849"/>
    <w:link w:val="68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7">
    <w:name w:val="Heading 7 Char"/>
    <w:link w:val="68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8">
    <w:name w:val="Heading 8"/>
    <w:basedOn w:val="849"/>
    <w:next w:val="849"/>
    <w:link w:val="68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9">
    <w:name w:val="Heading 8 Char"/>
    <w:link w:val="688"/>
    <w:uiPriority w:val="9"/>
    <w:rPr>
      <w:rFonts w:ascii="Arial" w:hAnsi="Arial" w:eastAsia="Arial" w:cs="Arial"/>
      <w:i/>
      <w:iCs/>
      <w:sz w:val="22"/>
      <w:szCs w:val="22"/>
    </w:rPr>
  </w:style>
  <w:style w:type="paragraph" w:styleId="690">
    <w:name w:val="Heading 9"/>
    <w:basedOn w:val="849"/>
    <w:next w:val="849"/>
    <w:link w:val="69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1">
    <w:name w:val="Heading 9 Char"/>
    <w:link w:val="690"/>
    <w:uiPriority w:val="9"/>
    <w:rPr>
      <w:rFonts w:ascii="Arial" w:hAnsi="Arial" w:eastAsia="Arial" w:cs="Arial"/>
      <w:i/>
      <w:iCs/>
      <w:sz w:val="21"/>
      <w:szCs w:val="21"/>
    </w:rPr>
  </w:style>
  <w:style w:type="paragraph" w:styleId="692">
    <w:name w:val="List Paragraph"/>
    <w:basedOn w:val="849"/>
    <w:uiPriority w:val="34"/>
    <w:qFormat/>
    <w:pPr>
      <w:contextualSpacing/>
      <w:ind w:left="720"/>
    </w:pPr>
  </w:style>
  <w:style w:type="paragraph" w:styleId="693">
    <w:name w:val="No Spacing"/>
    <w:uiPriority w:val="1"/>
    <w:qFormat/>
    <w:pPr>
      <w:spacing w:before="0" w:after="0" w:line="240" w:lineRule="auto"/>
    </w:pPr>
  </w:style>
  <w:style w:type="paragraph" w:styleId="694">
    <w:name w:val="Title"/>
    <w:basedOn w:val="849"/>
    <w:next w:val="849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49"/>
    <w:next w:val="849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49"/>
    <w:next w:val="849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49"/>
    <w:next w:val="849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character" w:styleId="702">
    <w:name w:val="Header Char"/>
    <w:link w:val="891"/>
    <w:uiPriority w:val="99"/>
  </w:style>
  <w:style w:type="character" w:styleId="703">
    <w:name w:val="Footer Char"/>
    <w:link w:val="892"/>
    <w:uiPriority w:val="99"/>
  </w:style>
  <w:style w:type="character" w:styleId="704">
    <w:name w:val="Caption Char"/>
    <w:basedOn w:val="874"/>
    <w:link w:val="892"/>
    <w:uiPriority w:val="99"/>
  </w:style>
  <w:style w:type="table" w:styleId="70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4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4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0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0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0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0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0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1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1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1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1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1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2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2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2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2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1">
    <w:name w:val="Hyperlink"/>
    <w:uiPriority w:val="99"/>
    <w:unhideWhenUsed/>
    <w:rPr>
      <w:color w:val="0000ff" w:themeColor="hyperlink"/>
      <w:u w:val="single"/>
    </w:rPr>
  </w:style>
  <w:style w:type="paragraph" w:styleId="832">
    <w:name w:val="footnote text"/>
    <w:basedOn w:val="849"/>
    <w:link w:val="833"/>
    <w:uiPriority w:val="99"/>
    <w:semiHidden/>
    <w:unhideWhenUsed/>
    <w:pPr>
      <w:spacing w:after="40" w:line="240" w:lineRule="auto"/>
    </w:pPr>
    <w:rPr>
      <w:sz w:val="18"/>
    </w:rPr>
  </w:style>
  <w:style w:type="character" w:styleId="833">
    <w:name w:val="Footnote Text Char"/>
    <w:link w:val="832"/>
    <w:uiPriority w:val="99"/>
    <w:rPr>
      <w:sz w:val="18"/>
    </w:rPr>
  </w:style>
  <w:style w:type="character" w:styleId="834">
    <w:name w:val="footnote reference"/>
    <w:uiPriority w:val="99"/>
    <w:unhideWhenUsed/>
    <w:rPr>
      <w:vertAlign w:val="superscript"/>
    </w:rPr>
  </w:style>
  <w:style w:type="paragraph" w:styleId="835">
    <w:name w:val="endnote text"/>
    <w:basedOn w:val="849"/>
    <w:link w:val="836"/>
    <w:uiPriority w:val="99"/>
    <w:semiHidden/>
    <w:unhideWhenUsed/>
    <w:pPr>
      <w:spacing w:after="0" w:line="240" w:lineRule="auto"/>
    </w:pPr>
    <w:rPr>
      <w:sz w:val="20"/>
    </w:rPr>
  </w:style>
  <w:style w:type="character" w:styleId="836">
    <w:name w:val="Endnote Text Char"/>
    <w:link w:val="835"/>
    <w:uiPriority w:val="99"/>
    <w:rPr>
      <w:sz w:val="20"/>
    </w:rPr>
  </w:style>
  <w:style w:type="character" w:styleId="837">
    <w:name w:val="endnote reference"/>
    <w:uiPriority w:val="99"/>
    <w:semiHidden/>
    <w:unhideWhenUsed/>
    <w:rPr>
      <w:vertAlign w:val="superscript"/>
    </w:rPr>
  </w:style>
  <w:style w:type="paragraph" w:styleId="838">
    <w:name w:val="toc 1"/>
    <w:basedOn w:val="849"/>
    <w:next w:val="849"/>
    <w:uiPriority w:val="39"/>
    <w:unhideWhenUsed/>
    <w:pPr>
      <w:ind w:left="0" w:right="0" w:firstLine="0"/>
      <w:spacing w:after="57"/>
    </w:pPr>
  </w:style>
  <w:style w:type="paragraph" w:styleId="839">
    <w:name w:val="toc 2"/>
    <w:basedOn w:val="849"/>
    <w:next w:val="849"/>
    <w:uiPriority w:val="39"/>
    <w:unhideWhenUsed/>
    <w:pPr>
      <w:ind w:left="283" w:right="0" w:firstLine="0"/>
      <w:spacing w:after="57"/>
    </w:pPr>
  </w:style>
  <w:style w:type="paragraph" w:styleId="840">
    <w:name w:val="toc 3"/>
    <w:basedOn w:val="849"/>
    <w:next w:val="849"/>
    <w:uiPriority w:val="39"/>
    <w:unhideWhenUsed/>
    <w:pPr>
      <w:ind w:left="567" w:right="0" w:firstLine="0"/>
      <w:spacing w:after="57"/>
    </w:pPr>
  </w:style>
  <w:style w:type="paragraph" w:styleId="841">
    <w:name w:val="toc 4"/>
    <w:basedOn w:val="849"/>
    <w:next w:val="849"/>
    <w:uiPriority w:val="39"/>
    <w:unhideWhenUsed/>
    <w:pPr>
      <w:ind w:left="850" w:right="0" w:firstLine="0"/>
      <w:spacing w:after="57"/>
    </w:pPr>
  </w:style>
  <w:style w:type="paragraph" w:styleId="842">
    <w:name w:val="toc 5"/>
    <w:basedOn w:val="849"/>
    <w:next w:val="849"/>
    <w:uiPriority w:val="39"/>
    <w:unhideWhenUsed/>
    <w:pPr>
      <w:ind w:left="1134" w:right="0" w:firstLine="0"/>
      <w:spacing w:after="57"/>
    </w:pPr>
  </w:style>
  <w:style w:type="paragraph" w:styleId="843">
    <w:name w:val="toc 6"/>
    <w:basedOn w:val="849"/>
    <w:next w:val="849"/>
    <w:uiPriority w:val="39"/>
    <w:unhideWhenUsed/>
    <w:pPr>
      <w:ind w:left="1417" w:right="0" w:firstLine="0"/>
      <w:spacing w:after="57"/>
    </w:pPr>
  </w:style>
  <w:style w:type="paragraph" w:styleId="844">
    <w:name w:val="toc 7"/>
    <w:basedOn w:val="849"/>
    <w:next w:val="849"/>
    <w:uiPriority w:val="39"/>
    <w:unhideWhenUsed/>
    <w:pPr>
      <w:ind w:left="1701" w:right="0" w:firstLine="0"/>
      <w:spacing w:after="57"/>
    </w:pPr>
  </w:style>
  <w:style w:type="paragraph" w:styleId="845">
    <w:name w:val="toc 8"/>
    <w:basedOn w:val="849"/>
    <w:next w:val="849"/>
    <w:uiPriority w:val="39"/>
    <w:unhideWhenUsed/>
    <w:pPr>
      <w:ind w:left="1984" w:right="0" w:firstLine="0"/>
      <w:spacing w:after="57"/>
    </w:pPr>
  </w:style>
  <w:style w:type="paragraph" w:styleId="846">
    <w:name w:val="toc 9"/>
    <w:basedOn w:val="849"/>
    <w:next w:val="849"/>
    <w:uiPriority w:val="39"/>
    <w:unhideWhenUsed/>
    <w:pPr>
      <w:ind w:left="2268" w:right="0" w:firstLine="0"/>
      <w:spacing w:after="57"/>
    </w:pPr>
  </w:style>
  <w:style w:type="paragraph" w:styleId="847">
    <w:name w:val="TOC Heading"/>
    <w:uiPriority w:val="39"/>
    <w:unhideWhenUsed/>
  </w:style>
  <w:style w:type="paragraph" w:styleId="848">
    <w:name w:val="table of figures"/>
    <w:basedOn w:val="849"/>
    <w:next w:val="849"/>
    <w:uiPriority w:val="99"/>
    <w:unhideWhenUsed/>
    <w:pPr>
      <w:spacing w:after="0" w:afterAutospacing="0"/>
    </w:pPr>
  </w:style>
  <w:style w:type="paragraph" w:styleId="849" w:default="1">
    <w:name w:val="Normal"/>
    <w:qFormat/>
    <w:pPr>
      <w:widowControl w:val="off"/>
    </w:pPr>
    <w:rPr>
      <w:rFonts w:ascii="Times New Roman" w:hAnsi="Times New Roman" w:eastAsia="Times New Roman" w:cs="Times New Roman"/>
      <w:color w:val="auto"/>
      <w:sz w:val="20"/>
      <w:szCs w:val="20"/>
      <w:lang w:val="ru-RU" w:eastAsia="zh-CN" w:bidi="ar-SA"/>
    </w:rPr>
  </w:style>
  <w:style w:type="paragraph" w:styleId="850">
    <w:name w:val="Heading 1"/>
    <w:basedOn w:val="849"/>
    <w:next w:val="849"/>
    <w:qFormat/>
    <w:pPr>
      <w:numPr>
        <w:ilvl w:val="0"/>
        <w:numId w:val="1"/>
      </w:numPr>
      <w:ind w:right="43" w:firstLine="0"/>
      <w:keepNext/>
      <w:widowControl/>
      <w:outlineLvl w:val="0"/>
    </w:pPr>
    <w:rPr>
      <w:b/>
      <w:bCs/>
      <w:sz w:val="28"/>
      <w:szCs w:val="28"/>
    </w:rPr>
  </w:style>
  <w:style w:type="paragraph" w:styleId="851">
    <w:name w:val="Heading 2"/>
    <w:basedOn w:val="849"/>
    <w:next w:val="872"/>
    <w:qFormat/>
    <w:pPr>
      <w:numPr>
        <w:ilvl w:val="1"/>
        <w:numId w:val="1"/>
      </w:numPr>
      <w:jc w:val="center"/>
      <w:keepLines/>
      <w:keepNext/>
      <w:spacing w:before="360" w:after="360"/>
      <w:widowControl/>
      <w:outlineLvl w:val="1"/>
    </w:pPr>
    <w:rPr>
      <w:b/>
      <w:sz w:val="28"/>
    </w:rPr>
  </w:style>
  <w:style w:type="paragraph" w:styleId="852">
    <w:name w:val="Heading 3"/>
    <w:basedOn w:val="849"/>
    <w:next w:val="849"/>
    <w:qFormat/>
    <w:pPr>
      <w:numPr>
        <w:ilvl w:val="2"/>
        <w:numId w:val="1"/>
      </w:numPr>
      <w:jc w:val="center"/>
      <w:keepNext/>
      <w:widowControl/>
      <w:outlineLvl w:val="2"/>
    </w:pPr>
    <w:rPr>
      <w:b/>
      <w:sz w:val="40"/>
    </w:rPr>
  </w:style>
  <w:style w:type="paragraph" w:styleId="853">
    <w:name w:val="Heading 4"/>
    <w:basedOn w:val="849"/>
    <w:next w:val="872"/>
    <w:qFormat/>
    <w:pPr>
      <w:numPr>
        <w:ilvl w:val="3"/>
        <w:numId w:val="1"/>
      </w:numPr>
      <w:keepLines/>
      <w:keepNext/>
      <w:spacing w:before="240" w:after="0"/>
      <w:widowControl/>
      <w:outlineLvl w:val="3"/>
    </w:pPr>
    <w:rPr>
      <w:rFonts w:ascii="Arial" w:hAnsi="Arial" w:cs="Arial"/>
      <w:b/>
      <w:i/>
      <w:sz w:val="24"/>
    </w:rPr>
  </w:style>
  <w:style w:type="paragraph" w:styleId="854">
    <w:name w:val="Heading 5"/>
    <w:basedOn w:val="849"/>
    <w:next w:val="849"/>
    <w:qFormat/>
    <w:pPr>
      <w:numPr>
        <w:ilvl w:val="4"/>
        <w:numId w:val="1"/>
      </w:numPr>
      <w:ind w:right="284" w:firstLine="0"/>
      <w:jc w:val="center"/>
      <w:keepNext/>
      <w:spacing w:before="240" w:after="60"/>
      <w:widowControl/>
      <w:outlineLvl w:val="4"/>
    </w:pPr>
    <w:rPr>
      <w:b/>
      <w:sz w:val="28"/>
    </w:rPr>
  </w:style>
  <w:style w:type="paragraph" w:styleId="855">
    <w:name w:val="Heading 6"/>
    <w:basedOn w:val="849"/>
    <w:next w:val="849"/>
    <w:qFormat/>
    <w:pPr>
      <w:numPr>
        <w:ilvl w:val="5"/>
        <w:numId w:val="1"/>
      </w:numPr>
      <w:jc w:val="both"/>
      <w:keepNext/>
      <w:widowControl/>
      <w:outlineLvl w:val="5"/>
    </w:pPr>
    <w:rPr>
      <w:sz w:val="28"/>
    </w:rPr>
  </w:style>
  <w:style w:type="character" w:styleId="856">
    <w:name w:val="WW8Num1z0"/>
    <w:qFormat/>
  </w:style>
  <w:style w:type="character" w:styleId="857">
    <w:name w:val="WW8Num1z1"/>
    <w:qFormat/>
    <w:rPr>
      <w:sz w:val="24"/>
    </w:rPr>
  </w:style>
  <w:style w:type="character" w:styleId="858">
    <w:name w:val="WW8Num2z0"/>
    <w:qFormat/>
    <w:rPr>
      <w:rFonts w:ascii="Symbol" w:hAnsi="Symbol" w:cs="Symbol"/>
    </w:rPr>
  </w:style>
  <w:style w:type="character" w:styleId="859">
    <w:name w:val="WW8Num3z0"/>
    <w:qFormat/>
  </w:style>
  <w:style w:type="character" w:styleId="860">
    <w:name w:val="WW8Num3z1"/>
    <w:qFormat/>
    <w:rPr>
      <w:sz w:val="24"/>
    </w:rPr>
  </w:style>
  <w:style w:type="character" w:styleId="861">
    <w:name w:val="WW8Num3z2"/>
    <w:qFormat/>
    <w:rPr>
      <w:b/>
      <w:i w:val="0"/>
      <w:sz w:val="28"/>
      <w:szCs w:val="28"/>
    </w:rPr>
  </w:style>
  <w:style w:type="character" w:styleId="862">
    <w:name w:val="WW8Num3z3"/>
    <w:qFormat/>
    <w:rPr>
      <w:b/>
      <w:i w:val="0"/>
      <w:sz w:val="24"/>
      <w:szCs w:val="24"/>
    </w:rPr>
  </w:style>
  <w:style w:type="character" w:styleId="863">
    <w:name w:val="WW8Num3z7"/>
    <w:qFormat/>
    <w:rPr>
      <w:b w:val="0"/>
      <w:i w:val="0"/>
      <w:sz w:val="24"/>
      <w:szCs w:val="24"/>
    </w:rPr>
  </w:style>
  <w:style w:type="character" w:styleId="864">
    <w:name w:val="WW8Num4z0"/>
    <w:qFormat/>
    <w:rPr>
      <w:rFonts w:ascii="Symbol" w:hAnsi="Symbol" w:eastAsia="Times New Roman" w:cs="Times New Roman"/>
    </w:rPr>
  </w:style>
  <w:style w:type="character" w:styleId="865">
    <w:name w:val="WW8Num5z0"/>
    <w:qFormat/>
  </w:style>
  <w:style w:type="character" w:styleId="866">
    <w:name w:val="Основной шрифт абзаца"/>
    <w:qFormat/>
    <w:rPr>
      <w:b/>
      <w:i/>
      <w:sz w:val="28"/>
      <w:lang w:val="en-GB" w:bidi="ar-SA"/>
    </w:rPr>
  </w:style>
  <w:style w:type="character" w:styleId="867">
    <w:name w:val="Цветовое выделение"/>
    <w:qFormat/>
    <w:rPr>
      <w:b/>
      <w:bCs/>
      <w:color w:val="000080"/>
      <w:sz w:val="20"/>
      <w:szCs w:val="20"/>
    </w:rPr>
  </w:style>
  <w:style w:type="character" w:styleId="868">
    <w:name w:val=" Знак Знак1"/>
    <w:qFormat/>
    <w:rPr>
      <w:b w:val="0"/>
      <w:i w:val="0"/>
      <w:sz w:val="28"/>
      <w:lang w:val="en-GB" w:bidi="ar-SA"/>
    </w:rPr>
  </w:style>
  <w:style w:type="character" w:styleId="869">
    <w:name w:val=" Знак Знак"/>
    <w:qFormat/>
    <w:rPr>
      <w:b w:val="0"/>
      <w:i w:val="0"/>
      <w:sz w:val="28"/>
      <w:lang w:val="en-GB" w:bidi="ar-SA"/>
    </w:rPr>
  </w:style>
  <w:style w:type="character" w:styleId="870">
    <w:name w:val=" Знак Знак2"/>
    <w:basedOn w:val="866"/>
    <w:qFormat/>
    <w:rPr>
      <w:bCs/>
      <w:szCs w:val="28"/>
    </w:rPr>
  </w:style>
  <w:style w:type="paragraph" w:styleId="871">
    <w:name w:val="Heading"/>
    <w:basedOn w:val="849"/>
    <w:next w:val="872"/>
    <w:qFormat/>
    <w:pPr>
      <w:keepNext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872">
    <w:name w:val="Body Text"/>
    <w:basedOn w:val="849"/>
    <w:pPr>
      <w:spacing w:before="0" w:after="120"/>
    </w:pPr>
  </w:style>
  <w:style w:type="paragraph" w:styleId="873">
    <w:name w:val="List"/>
    <w:basedOn w:val="872"/>
  </w:style>
  <w:style w:type="paragraph" w:styleId="874">
    <w:name w:val="Caption"/>
    <w:basedOn w:val="849"/>
    <w:qFormat/>
    <w:pPr>
      <w:spacing w:before="120" w:after="120"/>
      <w:suppressLineNumbers/>
    </w:pPr>
    <w:rPr>
      <w:i/>
      <w:iCs/>
      <w:sz w:val="24"/>
      <w:szCs w:val="24"/>
    </w:rPr>
  </w:style>
  <w:style w:type="paragraph" w:styleId="875">
    <w:name w:val="Index"/>
    <w:basedOn w:val="849"/>
    <w:qFormat/>
    <w:pPr>
      <w:suppressLineNumbers/>
    </w:pPr>
  </w:style>
  <w:style w:type="paragraph" w:styleId="876">
    <w:name w:val="Стиль1"/>
    <w:basedOn w:val="849"/>
    <w:qFormat/>
    <w:pPr>
      <w:jc w:val="both"/>
      <w:spacing w:before="120" w:after="0"/>
      <w:widowControl/>
      <w:outlineLvl w:val="5"/>
    </w:pPr>
    <w:rPr>
      <w:sz w:val="24"/>
    </w:rPr>
  </w:style>
  <w:style w:type="paragraph" w:styleId="877">
    <w:name w:val="Текст выноски"/>
    <w:basedOn w:val="849"/>
    <w:qFormat/>
    <w:rPr>
      <w:rFonts w:ascii="Tahoma" w:hAnsi="Tahoma" w:cs="Tahoma"/>
      <w:sz w:val="16"/>
      <w:szCs w:val="16"/>
    </w:rPr>
  </w:style>
  <w:style w:type="paragraph" w:styleId="878">
    <w:name w:val="ConsPlusNormal"/>
    <w:qFormat/>
    <w:pPr>
      <w:ind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79">
    <w:name w:val="ConsPlusNonformat"/>
    <w:qFormat/>
    <w:pPr>
      <w:widowControl w:val="off"/>
    </w:pPr>
    <w:rPr>
      <w:rFonts w:ascii="Courier New" w:hAnsi="Courier New" w:eastAsia="Times New Roman" w:cs="Courier New"/>
      <w:color w:val="auto"/>
      <w:sz w:val="20"/>
      <w:szCs w:val="20"/>
      <w:lang w:val="ru-RU" w:eastAsia="zh-CN" w:bidi="ar-SA"/>
    </w:rPr>
  </w:style>
  <w:style w:type="paragraph" w:styleId="880">
    <w:name w:val="ConsPlusTitle"/>
    <w:qFormat/>
    <w:pPr>
      <w:widowControl w:val="off"/>
    </w:pPr>
    <w:rPr>
      <w:rFonts w:ascii="Arial" w:hAnsi="Arial" w:eastAsia="Times New Roman" w:cs="Arial"/>
      <w:b/>
      <w:bCs/>
      <w:color w:val="auto"/>
      <w:sz w:val="20"/>
      <w:szCs w:val="20"/>
      <w:lang w:val="ru-RU" w:eastAsia="zh-CN" w:bidi="ar-SA"/>
    </w:rPr>
  </w:style>
  <w:style w:type="paragraph" w:styleId="881">
    <w:name w:val="Основной текст 2"/>
    <w:basedOn w:val="849"/>
    <w:qFormat/>
    <w:pPr>
      <w:ind w:firstLine="567"/>
      <w:jc w:val="center"/>
      <w:widowControl/>
    </w:pPr>
    <w:rPr>
      <w:sz w:val="28"/>
      <w:szCs w:val="28"/>
    </w:rPr>
  </w:style>
  <w:style w:type="paragraph" w:styleId="882">
    <w:name w:val="Знак Знак Знак1 Знак Знак Знак Знак"/>
    <w:basedOn w:val="849"/>
    <w:qFormat/>
    <w:pPr>
      <w:numPr>
        <w:ilvl w:val="0"/>
        <w:numId w:val="4"/>
      </w:numPr>
      <w:jc w:val="center"/>
      <w:spacing w:before="0" w:after="160" w:line="240" w:lineRule="exact"/>
    </w:pPr>
    <w:rPr>
      <w:b/>
      <w:i/>
      <w:sz w:val="28"/>
      <w:lang w:val="en-GB"/>
    </w:rPr>
  </w:style>
  <w:style w:type="paragraph" w:styleId="883">
    <w:name w:val="ConsNormal"/>
    <w:qFormat/>
    <w:pPr>
      <w:ind w:right="19772" w:firstLine="720"/>
      <w:widowControl w:val="off"/>
    </w:pPr>
    <w:rPr>
      <w:rFonts w:ascii="Arial" w:hAnsi="Arial" w:eastAsia="Times New Roman" w:cs="Arial"/>
      <w:color w:val="auto"/>
      <w:sz w:val="20"/>
      <w:szCs w:val="20"/>
      <w:lang w:val="ru-RU" w:eastAsia="zh-CN" w:bidi="ar-SA"/>
    </w:rPr>
  </w:style>
  <w:style w:type="paragraph" w:styleId="884">
    <w:name w:val="Заголовок статьи"/>
    <w:basedOn w:val="849"/>
    <w:next w:val="849"/>
    <w:qFormat/>
    <w:pPr>
      <w:ind w:left="1612" w:hanging="892"/>
      <w:jc w:val="both"/>
    </w:pPr>
    <w:rPr>
      <w:rFonts w:ascii="Arial" w:hAnsi="Arial" w:cs="Arial"/>
    </w:rPr>
  </w:style>
  <w:style w:type="paragraph" w:styleId="885">
    <w:name w:val="Комментарий"/>
    <w:basedOn w:val="849"/>
    <w:next w:val="849"/>
    <w:qFormat/>
    <w:pPr>
      <w:ind w:left="170" w:firstLine="0"/>
      <w:jc w:val="both"/>
    </w:pPr>
    <w:rPr>
      <w:rFonts w:ascii="Arial" w:hAnsi="Arial" w:cs="Arial"/>
      <w:i/>
      <w:iCs/>
      <w:color w:val="800080"/>
    </w:rPr>
  </w:style>
  <w:style w:type="paragraph" w:styleId="886">
    <w:name w:val="Стиль2"/>
    <w:basedOn w:val="876"/>
    <w:qFormat/>
    <w:pPr>
      <w:spacing w:before="60" w:after="0"/>
      <w:tabs>
        <w:tab w:val="clear" w:pos="708" w:leader="none"/>
        <w:tab w:val="left" w:pos="5040" w:leader="none"/>
      </w:tabs>
      <w:outlineLvl w:val="6"/>
    </w:pPr>
  </w:style>
  <w:style w:type="paragraph" w:styleId="887">
    <w:name w:val="Body Text Indent"/>
    <w:basedOn w:val="849"/>
    <w:pPr>
      <w:ind w:firstLine="708"/>
      <w:jc w:val="both"/>
    </w:pPr>
    <w:rPr>
      <w:sz w:val="26"/>
      <w:szCs w:val="26"/>
    </w:rPr>
  </w:style>
  <w:style w:type="paragraph" w:styleId="888">
    <w:name w:val="Стиль3"/>
    <w:basedOn w:val="849"/>
    <w:qFormat/>
    <w:pPr>
      <w:numPr>
        <w:ilvl w:val="0"/>
        <w:numId w:val="2"/>
      </w:numPr>
      <w:ind w:left="567" w:hanging="397"/>
      <w:jc w:val="both"/>
      <w:widowControl/>
      <w:tabs>
        <w:tab w:val="left" w:pos="567" w:leader="none"/>
        <w:tab w:val="clear" w:pos="708" w:leader="none"/>
      </w:tabs>
    </w:pPr>
    <w:rPr>
      <w:sz w:val="24"/>
    </w:rPr>
  </w:style>
  <w:style w:type="paragraph" w:styleId="889">
    <w:name w:val="Стиль4"/>
    <w:basedOn w:val="849"/>
    <w:qFormat/>
    <w:pPr>
      <w:numPr>
        <w:ilvl w:val="0"/>
        <w:numId w:val="3"/>
      </w:numPr>
      <w:jc w:val="both"/>
      <w:widowControl/>
    </w:pPr>
    <w:rPr>
      <w:sz w:val="24"/>
    </w:rPr>
  </w:style>
  <w:style w:type="paragraph" w:styleId="890">
    <w:name w:val="Header and Footer"/>
    <w:basedOn w:val="849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891">
    <w:name w:val="Header"/>
    <w:basedOn w:val="849"/>
    <w:pPr>
      <w:tabs>
        <w:tab w:val="clear" w:pos="708" w:leader="none"/>
        <w:tab w:val="center" w:pos="4677" w:leader="none"/>
        <w:tab w:val="right" w:pos="9355" w:leader="none"/>
      </w:tabs>
    </w:pPr>
    <w:rPr>
      <w:sz w:val="28"/>
      <w:lang w:val="en-GB"/>
    </w:rPr>
  </w:style>
  <w:style w:type="paragraph" w:styleId="892">
    <w:name w:val="Footer"/>
    <w:basedOn w:val="849"/>
    <w:pPr>
      <w:tabs>
        <w:tab w:val="clear" w:pos="708" w:leader="none"/>
        <w:tab w:val="center" w:pos="4677" w:leader="none"/>
        <w:tab w:val="right" w:pos="9355" w:leader="none"/>
      </w:tabs>
    </w:pPr>
    <w:rPr>
      <w:sz w:val="28"/>
      <w:lang w:val="en-GB"/>
    </w:rPr>
  </w:style>
  <w:style w:type="paragraph" w:styleId="893">
    <w:name w:val="Обычный (веб)"/>
    <w:basedOn w:val="849"/>
    <w:qFormat/>
    <w:pPr>
      <w:spacing w:before="280" w:after="280"/>
      <w:widowControl/>
    </w:pPr>
    <w:rPr>
      <w:sz w:val="24"/>
      <w:szCs w:val="24"/>
    </w:rPr>
  </w:style>
  <w:style w:type="paragraph" w:styleId="894">
    <w:name w:val="Table Contents"/>
    <w:basedOn w:val="849"/>
    <w:qFormat/>
    <w:pPr>
      <w:widowControl w:val="off"/>
      <w:suppressLineNumbers/>
    </w:pPr>
  </w:style>
  <w:style w:type="paragraph" w:styleId="895">
    <w:name w:val="Table Heading"/>
    <w:basedOn w:val="894"/>
    <w:qFormat/>
    <w:pPr>
      <w:jc w:val="center"/>
      <w:suppressLineNumbers/>
    </w:pPr>
    <w:rPr>
      <w:b/>
      <w:bCs/>
    </w:rPr>
  </w:style>
  <w:style w:type="paragraph" w:styleId="896">
    <w:name w:val="Frame Contents"/>
    <w:basedOn w:val="849"/>
    <w:qFormat/>
  </w:style>
  <w:style w:type="numbering" w:styleId="897">
    <w:name w:val="WW8Num1"/>
    <w:qFormat/>
  </w:style>
  <w:style w:type="numbering" w:styleId="898">
    <w:name w:val="WW8Num2"/>
    <w:qFormat/>
  </w:style>
  <w:style w:type="numbering" w:styleId="899">
    <w:name w:val="WW8Num3"/>
    <w:qFormat/>
  </w:style>
  <w:style w:type="numbering" w:styleId="900">
    <w:name w:val="WW8Num4"/>
    <w:qFormat/>
  </w:style>
  <w:style w:type="numbering" w:styleId="901">
    <w:name w:val="WW8Num5"/>
    <w:qFormat/>
  </w:style>
  <w:style w:type="numbering" w:styleId="902">
    <w:name w:val="WW8Num6"/>
    <w:qFormat/>
  </w:style>
  <w:style w:type="character" w:styleId="903" w:default="1">
    <w:name w:val="Default Paragraph Font"/>
    <w:uiPriority w:val="1"/>
    <w:semiHidden/>
    <w:unhideWhenUsed/>
  </w:style>
  <w:style w:type="numbering" w:styleId="904" w:default="1">
    <w:name w:val="No List"/>
    <w:uiPriority w:val="99"/>
    <w:semiHidden/>
    <w:unhideWhenUsed/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СОБРАНИЕ ПРЕДСТАВИТЕЛЕЙ</dc:title>
  <dc:subject/>
  <dc:creator>Mitrofanova</dc:creator>
  <cp:keywords/>
  <dc:description/>
  <dc:language>en-US</dc:language>
  <cp:lastModifiedBy>Светлана Гурина</cp:lastModifiedBy>
  <cp:revision>6</cp:revision>
  <dcterms:created xsi:type="dcterms:W3CDTF">2025-04-30T08:30:00Z</dcterms:created>
  <dcterms:modified xsi:type="dcterms:W3CDTF">2025-05-03T06:55:24Z</dcterms:modified>
</cp:coreProperties>
</file>