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46"/>
        <w:jc w:val="center"/>
        <w:tabs>
          <w:tab w:val="clear" w:pos="4153" w:leader="none"/>
          <w:tab w:val="clear" w:pos="8306" w:leader="none"/>
        </w:tabs>
        <w:rPr>
          <w:sz w:val="30"/>
        </w:rPr>
      </w:pPr>
      <w:r>
        <w:rPr>
          <w:sz w:val="30"/>
        </w:rPr>
      </w:r>
      <w:r>
        <w:rPr>
          <w:sz w:val="30"/>
        </w:rPr>
      </w:r>
    </w:p>
    <w:p>
      <w:pPr>
        <w:pStyle w:val="620"/>
        <w:jc w:val="center"/>
        <w:widowControl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</w:r>
    </w:p>
    <w:p>
      <w:pPr>
        <w:pStyle w:val="620"/>
        <w:jc w:val="center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20"/>
        <w:jc w:val="both"/>
        <w:spacing w:line="192" w:lineRule="auto"/>
        <w:widowControl/>
        <w:rPr>
          <w:sz w:val="30"/>
        </w:rPr>
      </w:pPr>
      <w:r>
        <w:rPr>
          <w:sz w:val="30"/>
        </w:rPr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" behindDoc="0" locked="0" layoutInCell="0" allowOverlap="1">
                <wp:simplePos x="0" y="0"/>
                <wp:positionH relativeFrom="page">
                  <wp:posOffset>920115</wp:posOffset>
                </wp:positionH>
                <wp:positionV relativeFrom="page">
                  <wp:posOffset>1372235</wp:posOffset>
                </wp:positionV>
                <wp:extent cx="6099810" cy="1708785"/>
                <wp:effectExtent l="0" t="0" r="0" b="0"/>
                <wp:wrapSquare wrapText="bothSides"/>
                <wp:docPr id="1" name="Fram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>
                          <a:off x="0" y="0"/>
                          <a:ext cx="6099810" cy="170878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</wps:spPr>
                      <wps:txbx>
                        <w:txbxContent>
                          <w:tbl>
                            <w:tblPr>
                              <w:tblW w:w="5000" w:type="pct"/>
                              <w:tblInd w:w="0" w:type="dxa"/>
                              <w:tblLayout w:type="fixed"/>
                              <w:tblCellMar>
                                <w:left w:w="0" w:type="dxa"/>
                                <w:top w:w="0" w:type="dxa"/>
                                <w:right w:w="0" w:type="dxa"/>
                                <w:bottom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9606"/>
                            </w:tblGrid>
                            <w:tr>
                              <w:tblPrEx/>
                              <w:trPr>
                                <w:trHeight w:val="397" w:hRule="exact"/>
                              </w:trPr>
                              <w:tc>
                                <w:tcPr>
                                  <w:tcW w:w="9606" w:type="dxa"/>
                                  <w:textDirection w:val="lrTb"/>
                                  <w:noWrap w:val="false"/>
                                </w:tcPr>
                                <w:p>
                                  <w:pPr>
                                    <w:pStyle w:val="620"/>
                                    <w:jc w:val="center"/>
                                    <w:widowControl/>
                                    <w:rPr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sz w:val="28"/>
                                    </w:rPr>
                                  </w:r>
                                  <w:r>
                                    <w:rPr>
                                      <w:b/>
                                      <w:sz w:val="28"/>
                                    </w:rPr>
                                  </w:r>
                                </w:p>
                              </w:tc>
                            </w:tr>
                            <w:tr>
                              <w:tblPrEx/>
                              <w:trPr/>
                              <w:tc>
                                <w:tcPr>
                                  <w:tcW w:w="9606" w:type="dxa"/>
                                  <w:textDirection w:val="lrTb"/>
                                  <w:noWrap w:val="false"/>
                                </w:tcPr>
                                <w:p>
                                  <w:pPr>
                                    <w:pStyle w:val="620"/>
                                    <w:jc w:val="center"/>
                                    <w:widowControl/>
                                  </w:pPr>
                                  <w:r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  <w:t xml:space="preserve">АДМИНИСТРАЦИЯ НЕЧАЕВСКОГО СЕЛЬСОВЕТА МОКШАНСКОГО РАЙОНА</w:t>
                                  </w:r>
                                  <w:r/>
                                </w:p>
                              </w:tc>
                            </w:tr>
                            <w:tr>
                              <w:tblPrEx/>
                              <w:trPr>
                                <w:trHeight w:val="397" w:hRule="exact"/>
                              </w:trPr>
                              <w:tc>
                                <w:tcPr>
                                  <w:tcW w:w="9606" w:type="dxa"/>
                                  <w:textDirection w:val="lrTb"/>
                                  <w:noWrap w:val="false"/>
                                </w:tcPr>
                                <w:p>
                                  <w:pPr>
                                    <w:pStyle w:val="620"/>
                                    <w:jc w:val="center"/>
                                    <w:widowControl/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  <w:t xml:space="preserve">ПЕНЗЕНСКОЙ ОБЛАСТИ</w:t>
                                  </w:r>
                                  <w:r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</w:r>
                                </w:p>
                              </w:tc>
                            </w:tr>
                            <w:tr>
                              <w:tblPrEx/>
                              <w:trPr>
                                <w:trHeight w:val="293"/>
                              </w:trPr>
                              <w:tc>
                                <w:tcPr>
                                  <w:tcW w:w="9606" w:type="dxa"/>
                                  <w:textDirection w:val="lrTb"/>
                                  <w:noWrap w:val="false"/>
                                </w:tcPr>
                                <w:p>
                                  <w:pPr>
                                    <w:pStyle w:val="623"/>
                                    <w:rPr>
                                      <w:b/>
                                      <w:sz w:val="24"/>
                                      <w:szCs w:val="36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  <w:szCs w:val="36"/>
                                    </w:rPr>
                                  </w:r>
                                  <w:r>
                                    <w:rPr>
                                      <w:b/>
                                      <w:sz w:val="24"/>
                                      <w:szCs w:val="36"/>
                                    </w:rPr>
                                  </w:r>
                                </w:p>
                              </w:tc>
                            </w:tr>
                            <w:tr>
                              <w:tblPrEx/>
                              <w:trPr>
                                <w:trHeight w:val="696" w:hRule="exact"/>
                              </w:trPr>
                              <w:tc>
                                <w:tcPr>
                                  <w:tcW w:w="9606" w:type="dxa"/>
                                  <w:vAlign w:val="center"/>
                                  <w:textDirection w:val="lrTb"/>
                                  <w:noWrap w:val="false"/>
                                </w:tcPr>
                                <w:p>
                                  <w:pPr>
                                    <w:pStyle w:val="623"/>
                                    <w:jc w:val="center"/>
                                  </w:pPr>
                                  <w:r>
                                    <w:t xml:space="preserve">ПОСТАНОВЛЕНИЕ</w:t>
                                  </w:r>
                                  <w:r/>
                                </w:p>
                              </w:tc>
                            </w:tr>
                            <w:tr>
                              <w:tblPrEx/>
                              <w:trPr>
                                <w:trHeight w:val="80" w:hRule="exact"/>
                              </w:trPr>
                              <w:tc>
                                <w:tcPr>
                                  <w:tcW w:w="9606" w:type="dxa"/>
                                  <w:vAlign w:val="center"/>
                                  <w:textDirection w:val="lrTb"/>
                                  <w:noWrap w:val="false"/>
                                </w:tcPr>
                                <w:p>
                                  <w:pPr>
                                    <w:pStyle w:val="623"/>
                                  </w:pPr>
                                  <w:r/>
                                  <w:r/>
                                </w:p>
                              </w:tc>
                            </w:tr>
                          </w:tbl>
                          <w:p>
                            <w:r/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0" o:spid="_x0000_s0" o:spt="202" type="#_x0000_t202" style="position:absolute;z-index:2;o:allowoverlap:true;o:allowincell:false;mso-position-horizontal-relative:page;margin-left:72.45pt;mso-position-horizontal:absolute;mso-position-vertical-relative:page;margin-top:108.05pt;mso-position-vertical:absolute;width:480.30pt;height:134.55pt;mso-wrap-distance-left:0.00pt;mso-wrap-distance-top:0.00pt;mso-wrap-distance-right:0.00pt;mso-wrap-distance-bottom:0.00pt;v-text-anchor:top;visibility:visible;" fillcolor="#FFFFFF">
                <v:fill opacity="100f"/>
                <w10:wrap type="square"/>
                <v:textbox inset="0,0,0,0">
                  <w:txbxContent>
                    <w:tbl>
                      <w:tblPr>
                        <w:tblW w:w="5000" w:type="pct"/>
                        <w:tblInd w:w="0" w:type="dxa"/>
                        <w:tblLayout w:type="fixed"/>
                        <w:tblCellMar>
                          <w:left w:w="0" w:type="dxa"/>
                          <w:top w:w="0" w:type="dxa"/>
                          <w:right w:w="0" w:type="dxa"/>
                          <w:bottom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9606"/>
                      </w:tblGrid>
                      <w:tr>
                        <w:tblPrEx/>
                        <w:trPr>
                          <w:trHeight w:val="397" w:hRule="exact"/>
                        </w:trPr>
                        <w:tc>
                          <w:tcPr>
                            <w:tcW w:w="9606" w:type="dxa"/>
                            <w:textDirection w:val="lrTb"/>
                            <w:noWrap w:val="false"/>
                          </w:tcPr>
                          <w:p>
                            <w:pPr>
                              <w:pStyle w:val="620"/>
                              <w:jc w:val="center"/>
                              <w:widowControl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</w:r>
                            <w:r>
                              <w:rPr>
                                <w:b/>
                                <w:sz w:val="28"/>
                              </w:rPr>
                            </w:r>
                          </w:p>
                        </w:tc>
                      </w:tr>
                      <w:tr>
                        <w:tblPrEx/>
                        <w:trPr/>
                        <w:tc>
                          <w:tcPr>
                            <w:tcW w:w="9606" w:type="dxa"/>
                            <w:textDirection w:val="lrTb"/>
                            <w:noWrap w:val="false"/>
                          </w:tcPr>
                          <w:p>
                            <w:pPr>
                              <w:pStyle w:val="620"/>
                              <w:jc w:val="center"/>
                              <w:widowControl/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 xml:space="preserve">АДМИНИСТРАЦИЯ НЕЧАЕВСКОГО СЕЛЬСОВЕТА МОКШАНСКОГО РАЙОНА</w:t>
                            </w:r>
                            <w:r/>
                          </w:p>
                        </w:tc>
                      </w:tr>
                      <w:tr>
                        <w:tblPrEx/>
                        <w:trPr>
                          <w:trHeight w:val="397" w:hRule="exact"/>
                        </w:trPr>
                        <w:tc>
                          <w:tcPr>
                            <w:tcW w:w="9606" w:type="dxa"/>
                            <w:textDirection w:val="lrTb"/>
                            <w:noWrap w:val="false"/>
                          </w:tcPr>
                          <w:p>
                            <w:pPr>
                              <w:pStyle w:val="620"/>
                              <w:jc w:val="center"/>
                              <w:widowControl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 xml:space="preserve">ПЕНЗЕНСКОЙ ОБЛАСТИ</w:t>
                            </w: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</w:r>
                          </w:p>
                        </w:tc>
                      </w:tr>
                      <w:tr>
                        <w:tblPrEx/>
                        <w:trPr>
                          <w:trHeight w:val="293"/>
                        </w:trPr>
                        <w:tc>
                          <w:tcPr>
                            <w:tcW w:w="9606" w:type="dxa"/>
                            <w:textDirection w:val="lrTb"/>
                            <w:noWrap w:val="false"/>
                          </w:tcPr>
                          <w:p>
                            <w:pPr>
                              <w:pStyle w:val="623"/>
                              <w:rPr>
                                <w:b/>
                                <w:sz w:val="24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36"/>
                              </w:rPr>
                            </w:r>
                            <w:r>
                              <w:rPr>
                                <w:b/>
                                <w:sz w:val="24"/>
                                <w:szCs w:val="36"/>
                              </w:rPr>
                            </w:r>
                          </w:p>
                        </w:tc>
                      </w:tr>
                      <w:tr>
                        <w:tblPrEx/>
                        <w:trPr>
                          <w:trHeight w:val="696" w:hRule="exact"/>
                        </w:trPr>
                        <w:tc>
                          <w:tcPr>
                            <w:tcW w:w="9606" w:type="dxa"/>
                            <w:vAlign w:val="center"/>
                            <w:textDirection w:val="lrTb"/>
                            <w:noWrap w:val="false"/>
                          </w:tcPr>
                          <w:p>
                            <w:pPr>
                              <w:pStyle w:val="623"/>
                              <w:jc w:val="center"/>
                            </w:pPr>
                            <w:r>
                              <w:t xml:space="preserve">ПОСТАНОВЛЕНИЕ</w:t>
                            </w:r>
                            <w:r/>
                          </w:p>
                        </w:tc>
                      </w:tr>
                      <w:tr>
                        <w:tblPrEx/>
                        <w:trPr>
                          <w:trHeight w:val="80" w:hRule="exact"/>
                        </w:trPr>
                        <w:tc>
                          <w:tcPr>
                            <w:tcW w:w="9606" w:type="dxa"/>
                            <w:vAlign w:val="center"/>
                            <w:textDirection w:val="lrTb"/>
                            <w:noWrap w:val="false"/>
                          </w:tcPr>
                          <w:p>
                            <w:pPr>
                              <w:pStyle w:val="623"/>
                            </w:pPr>
                            <w:r/>
                            <w:r/>
                          </w:p>
                        </w:tc>
                      </w:tr>
                    </w:tbl>
                    <w:p>
                      <w:r/>
                    </w:p>
                  </w:txbxContent>
                </v:textbox>
              </v:shape>
            </w:pict>
          </mc:Fallback>
        </mc:AlternateContent>
      </w:r>
      <w:r>
        <w:rPr>
          <w:sz w:val="30"/>
        </w:rPr>
      </w:r>
    </w:p>
    <w:p>
      <w:pPr>
        <w:jc w:val="center"/>
        <w:spacing w:before="240" w:after="60"/>
        <w:rPr>
          <w:sz w:val="24"/>
          <w:szCs w:val="24"/>
        </w:rPr>
      </w:pPr>
      <w:r>
        <w:rPr>
          <w:highlight w:val="none"/>
        </w:rPr>
      </w:r>
      <w:r>
        <w:rPr>
          <w:highlight w:val="none"/>
        </w:rPr>
      </w:r>
    </w:p>
    <w:p>
      <w:pPr>
        <w:pStyle w:val="620"/>
        <w:jc w:val="center"/>
        <w:spacing w:before="240" w:after="60"/>
        <w:rPr>
          <w:highlight w:val="none"/>
        </w:rPr>
      </w:pPr>
      <w:r>
        <w:rPr>
          <w:b/>
          <w:bCs/>
          <w:sz w:val="32"/>
          <w:szCs w:val="32"/>
        </w:rPr>
        <w:t xml:space="preserve">Об утверждении правил разработки и утверждения административных регламентов предоставления муниципальных услуг органами местного самоуправления Нечаевского сельсовета Мокшанского района Пензенской области</w: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3" behindDoc="0" locked="0" layoutInCell="0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-541661</wp:posOffset>
                </wp:positionV>
                <wp:extent cx="2952750" cy="381730"/>
                <wp:effectExtent l="0" t="0" r="0" b="0"/>
                <wp:wrapSquare wrapText="bothSides"/>
                <wp:docPr id="2" name="Frame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 flipH="0" flipV="0">
                          <a:off x="0" y="0"/>
                          <a:ext cx="2952750" cy="38172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</wps:spPr>
                      <wps:txbx>
                        <w:txbxContent>
                          <w:tbl>
                            <w:tblPr>
                              <w:tblW w:w="5000" w:type="pct"/>
                              <w:tblInd w:w="0" w:type="dxa"/>
                              <w:tblLayout w:type="fixed"/>
                              <w:tblCellMar>
                                <w:left w:w="0" w:type="dxa"/>
                                <w:top w:w="0" w:type="dxa"/>
                                <w:right w:w="0" w:type="dxa"/>
                                <w:bottom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84"/>
                              <w:gridCol w:w="2835"/>
                              <w:gridCol w:w="397"/>
                              <w:gridCol w:w="1134"/>
                            </w:tblGrid>
                            <w:tr>
                              <w:tblPrEx/>
                              <w:trPr/>
                              <w:tc>
                                <w:tcPr>
                                  <w:tcW w:w="284" w:type="dxa"/>
                                  <w:vAlign w:val="bottom"/>
                                  <w:textDirection w:val="lrTb"/>
                                  <w:noWrap w:val="false"/>
                                </w:tcPr>
                                <w:p>
                                  <w:pPr>
                                    <w:pStyle w:val="620"/>
                                    <w:widowControl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от</w:t>
                                  </w:r>
                                  <w:r>
                                    <w:rPr>
                                      <w:sz w:val="24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Borders>
                                    <w:bottom w:val="single" w:color="000000" w:sz="6" w:space="0"/>
                                  </w:tcBorders>
                                  <w:tcW w:w="2835" w:type="dxa"/>
                                  <w:textDirection w:val="lrTb"/>
                                  <w:noWrap w:val="false"/>
                                </w:tcPr>
                                <w:p>
                                  <w:pPr>
                                    <w:pStyle w:val="620"/>
                                    <w:jc w:val="center"/>
                                    <w:widowControl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</w:r>
                                  <w:r>
                                    <w:rPr>
                                      <w:sz w:val="24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397" w:type="dxa"/>
                                  <w:vAlign w:val="bottom"/>
                                  <w:textDirection w:val="lrTb"/>
                                  <w:noWrap w:val="false"/>
                                </w:tcPr>
                                <w:p>
                                  <w:pPr>
                                    <w:pStyle w:val="620"/>
                                    <w:jc w:val="center"/>
                                    <w:widowControl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№</w:t>
                                  </w:r>
                                  <w:r>
                                    <w:rPr>
                                      <w:sz w:val="24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Borders>
                                    <w:bottom w:val="single" w:color="000000" w:sz="6" w:space="0"/>
                                  </w:tcBorders>
                                  <w:tcW w:w="1134" w:type="dxa"/>
                                  <w:textDirection w:val="lrTb"/>
                                  <w:noWrap w:val="false"/>
                                </w:tcPr>
                                <w:p>
                                  <w:pPr>
                                    <w:pStyle w:val="620"/>
                                    <w:widowControl/>
                                    <w:rPr>
                                      <w:sz w:val="2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     </w:t>
                                  </w:r>
                                  <w:r>
                                    <w:rPr>
                                      <w:sz w:val="24"/>
                                      <w:lang w:val="en-US"/>
                                    </w:rPr>
                                  </w:r>
                                </w:p>
                              </w:tc>
                            </w:tr>
                            <w:tr>
                              <w:tblPrEx/>
                              <w:trPr/>
                              <w:tc>
                                <w:tcPr>
                                  <w:gridSpan w:val="4"/>
                                  <w:tcW w:w="4650" w:type="dxa"/>
                                  <w:textDirection w:val="lrTb"/>
                                  <w:noWrap w:val="false"/>
                                </w:tcPr>
                                <w:p>
                                  <w:pPr>
                                    <w:pStyle w:val="620"/>
                                    <w:jc w:val="center"/>
                                    <w:widowControl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с._Нечаевка </w:t>
                                  </w:r>
                                  <w:r>
                                    <w:rPr>
                                      <w:sz w:val="24"/>
                                    </w:rPr>
                                  </w:r>
                                </w:p>
                              </w:tc>
                            </w:tr>
                          </w:tbl>
                          <w:p>
                            <w:r/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" o:spid="_x0000_s1" o:spt="202" type="#_x0000_t202" style="position:absolute;z-index:3;o:allowoverlap:true;o:allowincell:false;mso-position-horizontal-relative:margin;mso-position-horizontal:center;mso-position-vertical-relative:text;margin-top:-42.65pt;mso-position-vertical:absolute;width:232.50pt;height:30.06pt;mso-wrap-distance-left:9.00pt;mso-wrap-distance-top:0.00pt;mso-wrap-distance-right:9.00pt;mso-wrap-distance-bottom:0.00pt;v-text-anchor:top;visibility:visible;" fillcolor="#FFFFFF">
                <v:fill opacity="100f"/>
                <w10:wrap type="square"/>
                <v:textbox inset="0,0,0,0">
                  <w:txbxContent>
                    <w:tbl>
                      <w:tblPr>
                        <w:tblW w:w="5000" w:type="pct"/>
                        <w:tblInd w:w="0" w:type="dxa"/>
                        <w:tblLayout w:type="fixed"/>
                        <w:tblCellMar>
                          <w:left w:w="0" w:type="dxa"/>
                          <w:top w:w="0" w:type="dxa"/>
                          <w:right w:w="0" w:type="dxa"/>
                          <w:bottom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84"/>
                        <w:gridCol w:w="2835"/>
                        <w:gridCol w:w="397"/>
                        <w:gridCol w:w="1134"/>
                      </w:tblGrid>
                      <w:tr>
                        <w:tblPrEx/>
                        <w:trPr/>
                        <w:tc>
                          <w:tcPr>
                            <w:tcW w:w="284" w:type="dxa"/>
                            <w:vAlign w:val="bottom"/>
                            <w:textDirection w:val="lrTb"/>
                            <w:noWrap w:val="false"/>
                          </w:tcPr>
                          <w:p>
                            <w:pPr>
                              <w:pStyle w:val="620"/>
                              <w:widowControl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от</w:t>
                            </w:r>
                            <w:r>
                              <w:rPr>
                                <w:sz w:val="24"/>
                              </w:rPr>
                            </w:r>
                          </w:p>
                        </w:tc>
                        <w:tc>
                          <w:tcPr>
                            <w:tcBorders>
                              <w:bottom w:val="single" w:color="000000" w:sz="6" w:space="0"/>
                            </w:tcBorders>
                            <w:tcW w:w="2835" w:type="dxa"/>
                            <w:textDirection w:val="lrTb"/>
                            <w:noWrap w:val="false"/>
                          </w:tcPr>
                          <w:p>
                            <w:pPr>
                              <w:pStyle w:val="620"/>
                              <w:jc w:val="center"/>
                              <w:widowControl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</w:r>
                            <w:r>
                              <w:rPr>
                                <w:sz w:val="24"/>
                              </w:rPr>
                            </w:r>
                          </w:p>
                        </w:tc>
                        <w:tc>
                          <w:tcPr>
                            <w:tcW w:w="397" w:type="dxa"/>
                            <w:vAlign w:val="bottom"/>
                            <w:textDirection w:val="lrTb"/>
                            <w:noWrap w:val="false"/>
                          </w:tcPr>
                          <w:p>
                            <w:pPr>
                              <w:pStyle w:val="620"/>
                              <w:jc w:val="center"/>
                              <w:widowControl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№</w:t>
                            </w:r>
                            <w:r>
                              <w:rPr>
                                <w:sz w:val="24"/>
                              </w:rPr>
                            </w:r>
                          </w:p>
                        </w:tc>
                        <w:tc>
                          <w:tcPr>
                            <w:tcBorders>
                              <w:bottom w:val="single" w:color="000000" w:sz="6" w:space="0"/>
                            </w:tcBorders>
                            <w:tcW w:w="1134" w:type="dxa"/>
                            <w:textDirection w:val="lrTb"/>
                            <w:noWrap w:val="false"/>
                          </w:tcPr>
                          <w:p>
                            <w:pPr>
                              <w:pStyle w:val="620"/>
                              <w:widowControl/>
                              <w:rPr>
                                <w:sz w:val="24"/>
                                <w:lang w:val="en-US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     </w:t>
                            </w:r>
                            <w:r>
                              <w:rPr>
                                <w:sz w:val="24"/>
                                <w:lang w:val="en-US"/>
                              </w:rPr>
                            </w:r>
                          </w:p>
                        </w:tc>
                      </w:tr>
                      <w:tr>
                        <w:tblPrEx/>
                        <w:trPr/>
                        <w:tc>
                          <w:tcPr>
                            <w:gridSpan w:val="4"/>
                            <w:tcW w:w="4650" w:type="dxa"/>
                            <w:textDirection w:val="lrTb"/>
                            <w:noWrap w:val="false"/>
                          </w:tcPr>
                          <w:p>
                            <w:pPr>
                              <w:pStyle w:val="620"/>
                              <w:jc w:val="center"/>
                              <w:widowControl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с._Нечаевка </w:t>
                            </w:r>
                            <w:r>
                              <w:rPr>
                                <w:sz w:val="24"/>
                              </w:rPr>
                            </w:r>
                          </w:p>
                        </w:tc>
                      </w:tr>
                    </w:tbl>
                    <w:p>
                      <w:r/>
                    </w:p>
                  </w:txbxContent>
                </v:textbox>
              </v:shape>
            </w:pict>
          </mc:Fallback>
        </mc:AlternateContent>
      </w:r>
      <w:r>
        <w:rPr>
          <w:highlight w:val="none"/>
        </w:rPr>
      </w:r>
    </w:p>
    <w:p>
      <w:pPr>
        <w:pStyle w:val="620"/>
        <w:ind w:firstLine="567"/>
        <w:jc w:val="both"/>
        <w:spacing w:before="280" w:after="280"/>
        <w:rPr>
          <w:sz w:val="24"/>
          <w:szCs w:val="24"/>
        </w:rPr>
      </w:pPr>
      <w:r>
        <w:rPr>
          <w:sz w:val="24"/>
          <w:szCs w:val="24"/>
        </w:rPr>
        <w:t xml:space="preserve"> </w:t>
      </w:r>
      <w:r>
        <w:rPr>
          <w:sz w:val="24"/>
          <w:szCs w:val="24"/>
        </w:rPr>
      </w:r>
    </w:p>
    <w:p>
      <w:pPr>
        <w:pStyle w:val="620"/>
        <w:ind w:firstLine="567"/>
        <w:jc w:val="left"/>
        <w:spacing w:before="280" w:after="280"/>
      </w:pPr>
      <w:r>
        <w:rPr>
          <w:sz w:val="28"/>
          <w:szCs w:val="28"/>
        </w:rPr>
        <w:t xml:space="preserve">В соответствии с Фе</w:t>
      </w:r>
      <w:r>
        <w:rPr>
          <w:sz w:val="28"/>
          <w:szCs w:val="28"/>
        </w:rPr>
        <w:t xml:space="preserve">деральным законом от 27.07.2010 № 210-ФЗ «Об организации предоставления государственных и муниципальных услуг» (с изменениями), руководствуясь Уставом сельского поселения Нечаевский сельсовет муниципального района Мокшанский район Пензенской области,</w:t>
      </w:r>
      <w:r/>
    </w:p>
    <w:p>
      <w:pPr>
        <w:pStyle w:val="620"/>
        <w:ind w:firstLine="0"/>
        <w:jc w:val="left"/>
        <w:spacing w:before="280" w:after="280"/>
      </w:pPr>
      <w:r>
        <w:rPr>
          <w:b/>
          <w:bCs/>
          <w:sz w:val="28"/>
          <w:szCs w:val="28"/>
        </w:rPr>
        <w:t xml:space="preserve">администрация Мокшанского района Пензенской области постановляет</w:t>
      </w:r>
      <w:r>
        <w:rPr>
          <w:sz w:val="28"/>
          <w:szCs w:val="28"/>
        </w:rPr>
        <w:t xml:space="preserve">:</w:t>
      </w:r>
      <w:r/>
    </w:p>
    <w:p>
      <w:pPr>
        <w:pStyle w:val="620"/>
        <w:ind w:firstLine="567"/>
        <w:jc w:val="left"/>
        <w:spacing w:before="280" w:after="280"/>
      </w:pPr>
      <w:r>
        <w:rPr>
          <w:sz w:val="28"/>
          <w:szCs w:val="28"/>
        </w:rPr>
        <w:t xml:space="preserve">1. Утвердить прилагаемые Правила разработки и утверждения административных регламентов предоставления муниципальных услуг органами местного самоуправления Нечаевского сельсовета Мокшанского района Пензенской области (далее – Правила).</w:t>
      </w:r>
      <w:r/>
    </w:p>
    <w:p>
      <w:pPr>
        <w:pStyle w:val="620"/>
        <w:ind w:firstLine="567"/>
        <w:jc w:val="left"/>
        <w:spacing w:before="280" w:after="280"/>
      </w:pPr>
      <w:r>
        <w:rPr>
          <w:sz w:val="28"/>
          <w:szCs w:val="28"/>
        </w:rPr>
        <w:t xml:space="preserve">2. Административные регламенты предоставления муниципальных услуг органами местного самоуправления Нечаевского сельсовета Мокшанского района Пензенской области подле</w:t>
      </w:r>
      <w:r>
        <w:rPr>
          <w:sz w:val="28"/>
          <w:szCs w:val="28"/>
        </w:rPr>
        <w:t xml:space="preserve">жат приведению в соответствие с требованиями Федерального закона от 27 июля 2010 г. № 210-ФЗ «Об организации предоставления государственных и муниципальных услуг» (с изменениями) и утвержденными настоящим постановлением Правилами в срок до 1 мая 2025 года.</w:t>
      </w:r>
      <w:r/>
    </w:p>
    <w:p>
      <w:pPr>
        <w:pStyle w:val="648"/>
        <w:ind w:firstLine="567"/>
        <w:jc w:val="left"/>
      </w:pPr>
      <w:r>
        <w:rPr>
          <w:sz w:val="28"/>
          <w:szCs w:val="28"/>
        </w:rPr>
        <w:t xml:space="preserve">3. Признать утратившим силу постановление администрации Нечаевского сельсовета Мокшанского района Пензенской области от 22.01.2020 № 9 «</w:t>
      </w:r>
      <w:r>
        <w:rPr>
          <w:bCs/>
          <w:sz w:val="28"/>
          <w:szCs w:val="28"/>
        </w:rPr>
        <w:t xml:space="preserve">Об утверждении Порядка подачи и рассмотрения жалоб на решения и действия (бездействие) органов местного самоуправления Мокшанского района Пензенской области и их должностных лиц, муниципальных служащих</w:t>
      </w:r>
      <w:r>
        <w:rPr>
          <w:sz w:val="28"/>
          <w:szCs w:val="28"/>
        </w:rPr>
        <w:t xml:space="preserve">».</w:t>
      </w:r>
      <w:r/>
    </w:p>
    <w:p>
      <w:pPr>
        <w:pStyle w:val="648"/>
        <w:ind w:firstLine="567"/>
        <w:jc w:val="left"/>
      </w:pPr>
      <w:r>
        <w:rPr>
          <w:sz w:val="28"/>
          <w:szCs w:val="28"/>
        </w:rPr>
        <w:t xml:space="preserve">4. Настоящее постанов</w:t>
      </w:r>
      <w:r>
        <w:rPr>
          <w:sz w:val="28"/>
          <w:szCs w:val="28"/>
        </w:rPr>
        <w:t xml:space="preserve">ление опубликовать в информационном бюллетене «Вести Нечаевского сельсовета» и разместить (опубликовать) на официальной станице администрации Нечаевского сельсовета Мокшанского района Пензенской области в информационно-телекоммуникационной сети «Интернет».</w:t>
      </w:r>
      <w:r/>
    </w:p>
    <w:p>
      <w:pPr>
        <w:pStyle w:val="620"/>
        <w:ind w:firstLine="567"/>
        <w:jc w:val="left"/>
      </w:pPr>
      <w:r>
        <w:rPr>
          <w:sz w:val="28"/>
          <w:szCs w:val="28"/>
        </w:rPr>
        <w:t xml:space="preserve">5. Настоящее  постановление  вступает в силу на следующий день после дня его официального опубликования.</w:t>
      </w:r>
      <w:r/>
    </w:p>
    <w:p>
      <w:pPr>
        <w:pStyle w:val="620"/>
        <w:ind w:firstLine="567"/>
        <w:jc w:val="left"/>
        <w:spacing w:line="264" w:lineRule="auto"/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6. Контроль за исполнением настоящего постановления возложить на главу администрации Нечаевского сельсовета Мокшанского района Пензенской области.</w:t>
      </w:r>
      <w:r>
        <w:rPr>
          <w:sz w:val="28"/>
          <w:szCs w:val="28"/>
          <w:highlight w:val="none"/>
        </w:rPr>
      </w:r>
    </w:p>
    <w:p>
      <w:pPr>
        <w:ind w:firstLine="567"/>
        <w:jc w:val="both"/>
        <w:spacing w:line="264" w:lineRule="auto"/>
        <w:rPr>
          <w:b/>
          <w:bCs/>
          <w:sz w:val="28"/>
          <w:szCs w:val="28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tbl>
      <w:tblPr>
        <w:tblW w:w="4900" w:type="pct"/>
        <w:tblInd w:w="-108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3834"/>
        <w:gridCol w:w="2651"/>
        <w:gridCol w:w="2849"/>
      </w:tblGrid>
      <w:tr>
        <w:tblPrEx/>
        <w:trPr/>
        <w:tc>
          <w:tcPr>
            <w:tcW w:w="3834" w:type="dxa"/>
            <w:textDirection w:val="lrTb"/>
            <w:noWrap w:val="false"/>
          </w:tcPr>
          <w:p>
            <w:pPr>
              <w:pStyle w:val="638"/>
              <w:jc w:val="both"/>
              <w:spacing w:before="0" w:after="0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 xml:space="preserve">И.о. главы администрации</w:t>
            </w:r>
            <w:r>
              <w:rPr>
                <w:b w:val="0"/>
                <w:bCs w:val="0"/>
                <w:sz w:val="28"/>
                <w:szCs w:val="28"/>
              </w:rPr>
            </w:r>
          </w:p>
          <w:p>
            <w:pPr>
              <w:pStyle w:val="638"/>
              <w:jc w:val="both"/>
              <w:spacing w:before="0" w:after="0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 xml:space="preserve">Нечаевского сельсовета</w:t>
            </w:r>
            <w:r>
              <w:rPr>
                <w:b w:val="0"/>
                <w:bCs w:val="0"/>
                <w:sz w:val="28"/>
                <w:szCs w:val="28"/>
              </w:rPr>
            </w:r>
          </w:p>
          <w:p>
            <w:pPr>
              <w:pStyle w:val="638"/>
              <w:jc w:val="both"/>
              <w:spacing w:before="0" w:after="0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 xml:space="preserve">Мокшанского района </w:t>
            </w:r>
            <w:r>
              <w:rPr>
                <w:b w:val="0"/>
                <w:bCs w:val="0"/>
                <w:sz w:val="28"/>
                <w:szCs w:val="28"/>
              </w:rPr>
            </w:r>
          </w:p>
          <w:p>
            <w:pPr>
              <w:pStyle w:val="638"/>
              <w:jc w:val="both"/>
              <w:spacing w:before="0" w:after="0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 xml:space="preserve">Пензенской области </w: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  <w:p>
            <w:pPr>
              <w:pStyle w:val="638"/>
              <w:ind w:firstLine="567"/>
              <w:jc w:val="both"/>
              <w:spacing w:before="0" w:after="0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</w:r>
            <w:r>
              <w:rPr>
                <w:b w:val="0"/>
                <w:bCs w:val="0"/>
                <w:sz w:val="28"/>
                <w:szCs w:val="28"/>
              </w:rPr>
            </w:r>
          </w:p>
        </w:tc>
        <w:tc>
          <w:tcPr>
            <w:tcW w:w="2651" w:type="dxa"/>
            <w:textDirection w:val="lrTb"/>
            <w:noWrap w:val="false"/>
          </w:tcPr>
          <w:p>
            <w:pPr>
              <w:pStyle w:val="638"/>
              <w:ind w:firstLine="11"/>
              <w:jc w:val="both"/>
              <w:spacing w:before="0" w:after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</w:r>
            <w:r>
              <w:rPr>
                <w:sz w:val="28"/>
                <w:szCs w:val="28"/>
                <w:lang w:eastAsia="en-US"/>
              </w:rPr>
            </w:r>
          </w:p>
        </w:tc>
        <w:tc>
          <w:tcPr>
            <w:tcW w:w="2849" w:type="dxa"/>
            <w:textDirection w:val="lrTb"/>
            <w:noWrap w:val="false"/>
          </w:tcPr>
          <w:p>
            <w:pPr>
              <w:pStyle w:val="638"/>
              <w:ind w:firstLine="0"/>
              <w:jc w:val="both"/>
              <w:spacing w:before="0" w:after="0"/>
              <w:rPr>
                <w:b/>
                <w:bCs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  <w:r>
              <w:rPr>
                <w:b/>
                <w:sz w:val="28"/>
                <w:szCs w:val="28"/>
              </w:rPr>
            </w:r>
          </w:p>
          <w:p>
            <w:pPr>
              <w:pStyle w:val="638"/>
              <w:ind w:firstLine="0"/>
              <w:jc w:val="both"/>
              <w:spacing w:before="0" w:after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</w:r>
          </w:p>
          <w:p>
            <w:pPr>
              <w:pStyle w:val="638"/>
              <w:ind w:firstLine="0"/>
              <w:jc w:val="both"/>
              <w:spacing w:before="0" w:after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</w:r>
          </w:p>
          <w:p>
            <w:pPr>
              <w:pStyle w:val="638"/>
              <w:ind w:firstLine="0"/>
              <w:jc w:val="both"/>
              <w:spacing w:before="0" w:after="0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 xml:space="preserve">И.Н.Агафонов</w:t>
            </w:r>
            <w:r>
              <w:rPr>
                <w:b w:val="0"/>
                <w:bCs w:val="0"/>
                <w:sz w:val="28"/>
                <w:szCs w:val="28"/>
              </w:rPr>
            </w:r>
          </w:p>
          <w:p>
            <w:pPr>
              <w:pStyle w:val="638"/>
              <w:ind w:right="319" w:firstLine="567"/>
              <w:jc w:val="both"/>
              <w:spacing w:before="0"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  <w:r>
              <w:rPr>
                <w:b/>
                <w:sz w:val="28"/>
                <w:szCs w:val="28"/>
              </w:rPr>
            </w:r>
          </w:p>
        </w:tc>
      </w:tr>
    </w:tbl>
    <w:p>
      <w:pPr>
        <w:pStyle w:val="646"/>
        <w:ind w:firstLine="567"/>
        <w:jc w:val="both"/>
        <w:tabs>
          <w:tab w:val="clear" w:pos="4153" w:leader="none"/>
          <w:tab w:val="clear" w:pos="8306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620"/>
        <w:ind w:firstLine="567"/>
        <w:jc w:val="both"/>
        <w:spacing w:before="280" w:after="280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620"/>
        <w:ind w:firstLine="567"/>
        <w:jc w:val="both"/>
        <w:spacing w:before="280" w:after="280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20"/>
        <w:ind w:firstLine="567"/>
        <w:jc w:val="both"/>
        <w:spacing w:before="280" w:after="280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20"/>
        <w:ind w:firstLine="567"/>
        <w:jc w:val="both"/>
        <w:spacing w:before="280" w:after="280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20"/>
        <w:ind w:firstLine="567"/>
        <w:jc w:val="both"/>
        <w:spacing w:before="280" w:after="280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20"/>
        <w:ind w:firstLine="567"/>
        <w:jc w:val="both"/>
        <w:spacing w:before="280" w:after="280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20"/>
        <w:ind w:firstLine="567"/>
        <w:jc w:val="both"/>
        <w:spacing w:before="280" w:after="280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20"/>
        <w:ind w:firstLine="567"/>
        <w:jc w:val="both"/>
        <w:spacing w:before="280" w:after="280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20"/>
        <w:ind w:firstLine="567"/>
        <w:jc w:val="both"/>
        <w:spacing w:before="280" w:after="280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20"/>
        <w:ind w:firstLine="567"/>
        <w:jc w:val="both"/>
        <w:spacing w:before="280" w:after="280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20"/>
        <w:ind w:firstLine="567"/>
        <w:jc w:val="both"/>
        <w:spacing w:before="280" w:after="280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20"/>
        <w:ind w:firstLine="567"/>
        <w:jc w:val="both"/>
        <w:spacing w:before="280" w:after="280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20"/>
        <w:ind w:firstLine="567"/>
        <w:jc w:val="both"/>
        <w:spacing w:before="280" w:after="280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20"/>
        <w:ind w:firstLine="567"/>
        <w:jc w:val="both"/>
        <w:spacing w:before="280" w:after="280"/>
        <w:rPr>
          <w:sz w:val="28"/>
          <w:szCs w:val="28"/>
        </w:rPr>
      </w:pPr>
      <w:r>
        <w:rPr>
          <w:sz w:val="28"/>
          <w:szCs w:val="28"/>
        </w:rPr>
        <w:t xml:space="preserve"> </w:t>
      </w:r>
      <w:r>
        <w:rPr>
          <w:sz w:val="28"/>
          <w:szCs w:val="28"/>
        </w:rPr>
      </w:r>
    </w:p>
    <w:p>
      <w:pPr>
        <w:pStyle w:val="620"/>
        <w:ind w:firstLine="567"/>
        <w:jc w:val="both"/>
        <w:spacing w:before="280" w:after="280"/>
        <w:rPr>
          <w:sz w:val="28"/>
          <w:szCs w:val="28"/>
        </w:rPr>
      </w:pPr>
      <w:r>
        <w:rPr>
          <w:sz w:val="28"/>
          <w:szCs w:val="28"/>
        </w:rPr>
        <w:t xml:space="preserve"> </w:t>
      </w:r>
      <w:r>
        <w:rPr>
          <w:sz w:val="28"/>
          <w:szCs w:val="28"/>
        </w:rPr>
      </w:r>
    </w:p>
    <w:p>
      <w:pPr>
        <w:pStyle w:val="620"/>
        <w:ind w:firstLine="567"/>
        <w:jc w:val="right"/>
        <w:spacing w:before="280" w:after="280"/>
        <w:rPr>
          <w:sz w:val="28"/>
          <w:szCs w:val="28"/>
        </w:rPr>
      </w:pPr>
      <w:r>
        <w:rPr>
          <w:sz w:val="28"/>
          <w:szCs w:val="28"/>
        </w:rPr>
        <w:t xml:space="preserve">Приложение</w:t>
      </w:r>
      <w:r>
        <w:rPr>
          <w:sz w:val="28"/>
          <w:szCs w:val="28"/>
        </w:rPr>
      </w:r>
    </w:p>
    <w:p>
      <w:pPr>
        <w:pStyle w:val="620"/>
        <w:ind w:firstLine="567"/>
        <w:jc w:val="right"/>
        <w:spacing w:before="280" w:after="280"/>
        <w:rPr>
          <w:sz w:val="28"/>
          <w:szCs w:val="28"/>
        </w:rPr>
      </w:pPr>
      <w:r>
        <w:rPr>
          <w:sz w:val="28"/>
          <w:szCs w:val="28"/>
        </w:rPr>
        <w:t xml:space="preserve">УТВЕРЖДЕНЫ</w:t>
      </w:r>
      <w:r>
        <w:rPr>
          <w:sz w:val="28"/>
          <w:szCs w:val="28"/>
        </w:rPr>
      </w:r>
    </w:p>
    <w:p>
      <w:pPr>
        <w:pStyle w:val="620"/>
        <w:ind w:firstLine="567"/>
        <w:jc w:val="right"/>
        <w:spacing w:before="280" w:after="280"/>
        <w:rPr>
          <w:sz w:val="28"/>
          <w:szCs w:val="28"/>
        </w:rPr>
      </w:pPr>
      <w:r>
        <w:rPr>
          <w:sz w:val="28"/>
          <w:szCs w:val="28"/>
        </w:rPr>
        <w:t xml:space="preserve">постановлением администрации</w:t>
      </w:r>
      <w:r>
        <w:rPr>
          <w:sz w:val="28"/>
          <w:szCs w:val="28"/>
        </w:rPr>
      </w:r>
    </w:p>
    <w:p>
      <w:pPr>
        <w:pStyle w:val="620"/>
        <w:ind w:firstLine="567"/>
        <w:jc w:val="right"/>
        <w:spacing w:before="280" w:after="280"/>
      </w:pPr>
      <w:r>
        <w:rPr>
          <w:sz w:val="28"/>
          <w:szCs w:val="28"/>
        </w:rPr>
        <w:t xml:space="preserve">Нечаевского сельсовета Мокшанского района </w:t>
      </w:r>
      <w:r/>
    </w:p>
    <w:p>
      <w:pPr>
        <w:pStyle w:val="620"/>
        <w:ind w:firstLine="567"/>
        <w:jc w:val="right"/>
        <w:spacing w:before="280" w:after="280"/>
        <w:rPr>
          <w:sz w:val="28"/>
          <w:szCs w:val="28"/>
        </w:rPr>
      </w:pPr>
      <w:r>
        <w:rPr>
          <w:sz w:val="28"/>
          <w:szCs w:val="28"/>
        </w:rPr>
        <w:t xml:space="preserve">Пензенской области</w:t>
      </w:r>
      <w:r>
        <w:rPr>
          <w:sz w:val="28"/>
          <w:szCs w:val="28"/>
        </w:rPr>
      </w:r>
    </w:p>
    <w:p>
      <w:pPr>
        <w:pStyle w:val="620"/>
        <w:ind w:firstLine="567"/>
        <w:jc w:val="right"/>
        <w:spacing w:before="280" w:after="28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 __________ № _______</w:t>
      </w:r>
      <w:r>
        <w:rPr>
          <w:sz w:val="28"/>
          <w:szCs w:val="28"/>
        </w:rPr>
      </w:r>
    </w:p>
    <w:p>
      <w:pPr>
        <w:pStyle w:val="620"/>
        <w:ind w:firstLine="567"/>
        <w:jc w:val="both"/>
        <w:spacing w:before="280" w:after="280"/>
        <w:rPr>
          <w:sz w:val="28"/>
          <w:szCs w:val="28"/>
        </w:rPr>
      </w:pPr>
      <w:r>
        <w:rPr>
          <w:sz w:val="28"/>
          <w:szCs w:val="28"/>
        </w:rPr>
        <w:t xml:space="preserve"> </w:t>
      </w:r>
      <w:r>
        <w:rPr>
          <w:sz w:val="28"/>
          <w:szCs w:val="28"/>
        </w:rPr>
      </w:r>
    </w:p>
    <w:p>
      <w:pPr>
        <w:pStyle w:val="620"/>
        <w:ind w:firstLine="567"/>
        <w:jc w:val="center"/>
        <w:spacing w:before="280" w:after="280"/>
        <w:rPr>
          <w:sz w:val="28"/>
          <w:szCs w:val="28"/>
        </w:rPr>
      </w:pPr>
      <w:r/>
      <w:bookmarkStart w:id="0" w:name="P37"/>
      <w:r/>
      <w:bookmarkEnd w:id="0"/>
      <w:r>
        <w:rPr>
          <w:b/>
          <w:bCs/>
          <w:sz w:val="28"/>
          <w:szCs w:val="28"/>
        </w:rPr>
        <w:t xml:space="preserve">Правила разработки и утверждения административных регламентов предоставления муниципальных услуг органами местного самоуправления Нечаевского сельсовета Мокшанского района Пензенской области</w:t>
      </w:r>
      <w:r>
        <w:rPr>
          <w:sz w:val="28"/>
          <w:szCs w:val="28"/>
        </w:rPr>
      </w:r>
    </w:p>
    <w:p>
      <w:pPr>
        <w:pStyle w:val="620"/>
        <w:ind w:firstLine="567"/>
        <w:jc w:val="both"/>
        <w:spacing w:before="280" w:after="280"/>
        <w:rPr>
          <w:sz w:val="28"/>
          <w:szCs w:val="28"/>
        </w:rPr>
      </w:pPr>
      <w:r>
        <w:rPr>
          <w:sz w:val="28"/>
          <w:szCs w:val="28"/>
        </w:rPr>
        <w:t xml:space="preserve"> </w:t>
      </w:r>
      <w:r>
        <w:rPr>
          <w:sz w:val="28"/>
          <w:szCs w:val="28"/>
        </w:rPr>
      </w:r>
    </w:p>
    <w:p>
      <w:pPr>
        <w:pStyle w:val="620"/>
        <w:ind w:firstLine="567"/>
        <w:jc w:val="center"/>
        <w:spacing w:before="280" w:after="28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I. Общие положения</w:t>
      </w:r>
      <w:r>
        <w:rPr>
          <w:sz w:val="28"/>
          <w:szCs w:val="28"/>
        </w:rPr>
      </w:r>
    </w:p>
    <w:p>
      <w:pPr>
        <w:pStyle w:val="620"/>
        <w:ind w:firstLine="567"/>
        <w:jc w:val="both"/>
        <w:spacing w:before="280" w:after="280"/>
        <w:rPr>
          <w:sz w:val="28"/>
          <w:szCs w:val="28"/>
        </w:rPr>
      </w:pPr>
      <w:r>
        <w:rPr>
          <w:sz w:val="28"/>
          <w:szCs w:val="28"/>
        </w:rPr>
        <w:t xml:space="preserve"> </w:t>
      </w:r>
      <w:r>
        <w:rPr>
          <w:sz w:val="28"/>
          <w:szCs w:val="28"/>
        </w:rPr>
      </w:r>
    </w:p>
    <w:p>
      <w:pPr>
        <w:pStyle w:val="620"/>
        <w:ind w:firstLine="567"/>
        <w:jc w:val="both"/>
        <w:spacing w:before="280" w:after="280"/>
      </w:pPr>
      <w:r>
        <w:rPr>
          <w:sz w:val="28"/>
          <w:szCs w:val="28"/>
        </w:rPr>
        <w:t xml:space="preserve">1. Настоящие Правила устанавливают порядок разработки и утверждения административных регламентов предоставлен</w:t>
      </w:r>
      <w:r>
        <w:rPr>
          <w:sz w:val="28"/>
          <w:szCs w:val="28"/>
        </w:rPr>
        <w:t xml:space="preserve">ия муниципальных услуг органами местного самоуправления Нечаевского сельсовета Мокшанского района Пензенской области (далее также - орган, предоставляющий муниципальные услуги, орган (органы) местного самоуправления, административный регламент).</w:t>
      </w:r>
      <w:r/>
    </w:p>
    <w:p>
      <w:pPr>
        <w:pStyle w:val="620"/>
        <w:ind w:firstLine="567"/>
        <w:jc w:val="both"/>
        <w:spacing w:before="280" w:after="280"/>
        <w:rPr>
          <w:sz w:val="28"/>
          <w:szCs w:val="28"/>
        </w:rPr>
      </w:pPr>
      <w:r>
        <w:rPr>
          <w:sz w:val="28"/>
          <w:szCs w:val="28"/>
        </w:rPr>
        <w:t xml:space="preserve">2. Административные регламенты разрабатываются и утверждаются органами, предоставляющими муниципальные услуги.</w:t>
      </w:r>
      <w:r>
        <w:rPr>
          <w:sz w:val="28"/>
          <w:szCs w:val="28"/>
        </w:rPr>
      </w:r>
    </w:p>
    <w:p>
      <w:pPr>
        <w:pStyle w:val="620"/>
        <w:ind w:firstLine="567"/>
        <w:jc w:val="both"/>
        <w:spacing w:before="280" w:after="280"/>
      </w:pPr>
      <w:r/>
      <w:bookmarkStart w:id="1" w:name="P45"/>
      <w:r/>
      <w:bookmarkEnd w:id="1"/>
      <w:r>
        <w:rPr>
          <w:sz w:val="28"/>
          <w:szCs w:val="28"/>
        </w:rPr>
        <w:t xml:space="preserve">3. Административные регламенты разрабатываются в соответствии с федеральными законами, нормативными правовыми актами Президента Российской Федерации и Правительства Российской </w:t>
      </w:r>
      <w:r>
        <w:rPr>
          <w:sz w:val="28"/>
          <w:szCs w:val="28"/>
        </w:rPr>
        <w:t xml:space="preserve">Федерации, а также в соответствии с единым стандартом предоставления муниципальной услуги (при его наличии) после внесения сведений о муниципальной услуге в реестр муниципальных услуг Нечаевского сельсовета Мокшанского района Пензенской области.</w:t>
      </w:r>
      <w:r/>
    </w:p>
    <w:p>
      <w:pPr>
        <w:pStyle w:val="620"/>
        <w:ind w:firstLine="567"/>
        <w:jc w:val="both"/>
        <w:spacing w:before="280" w:after="280"/>
        <w:rPr>
          <w:sz w:val="28"/>
          <w:szCs w:val="28"/>
        </w:rPr>
      </w:pPr>
      <w:r>
        <w:rPr>
          <w:sz w:val="28"/>
          <w:szCs w:val="28"/>
        </w:rPr>
        <w:t xml:space="preserve">4. Разработка, согласование, проведение экспертизы проектов административных регламентов осуществляются структурными подразделениями органов, предоставляющих муниципальные услуги, их уполномоченными лицами.</w:t>
      </w:r>
      <w:r>
        <w:rPr>
          <w:sz w:val="28"/>
          <w:szCs w:val="28"/>
        </w:rPr>
      </w:r>
    </w:p>
    <w:p>
      <w:pPr>
        <w:pStyle w:val="620"/>
        <w:ind w:firstLine="567"/>
        <w:jc w:val="both"/>
        <w:spacing w:before="280" w:after="280"/>
        <w:rPr>
          <w:sz w:val="28"/>
          <w:szCs w:val="28"/>
        </w:rPr>
      </w:pPr>
      <w:r/>
      <w:bookmarkStart w:id="2" w:name="P57"/>
      <w:r/>
      <w:bookmarkEnd w:id="2"/>
      <w:r>
        <w:rPr>
          <w:sz w:val="28"/>
          <w:szCs w:val="28"/>
        </w:rPr>
        <w:t xml:space="preserve">5. При разработке административных регламентов органы, предоставляющие муниципальные услуги, предусматривают оптимизацию (пов</w:t>
      </w:r>
      <w:r>
        <w:rPr>
          <w:sz w:val="28"/>
          <w:szCs w:val="28"/>
        </w:rPr>
        <w:t xml:space="preserve">ышение качества) предоставления муниципальных услуг, в том числе возможность предоставления муниципальной услуги в упреждающем (проактивном) режиме, устранение избыточных административных процедур и сроков их осуществления, а также документов и (или) инфор</w:t>
      </w:r>
      <w:r>
        <w:rPr>
          <w:sz w:val="28"/>
          <w:szCs w:val="28"/>
        </w:rPr>
        <w:t xml:space="preserve">мации, требуемых для получения муниципальной услуги, а также внедрение иных принципов предоставления муниципальных услуг, предусмотренных Федеральным законом «Об организации предоставления государственных и муниципальных услуг» (далее – Федеральный закон).</w:t>
      </w:r>
      <w:r>
        <w:rPr>
          <w:sz w:val="28"/>
          <w:szCs w:val="28"/>
        </w:rPr>
      </w:r>
    </w:p>
    <w:p>
      <w:pPr>
        <w:pStyle w:val="620"/>
        <w:ind w:firstLine="567"/>
        <w:jc w:val="both"/>
        <w:spacing w:before="280" w:after="280"/>
        <w:rPr>
          <w:sz w:val="28"/>
          <w:szCs w:val="28"/>
        </w:rPr>
      </w:pPr>
      <w:r>
        <w:rPr>
          <w:sz w:val="28"/>
          <w:szCs w:val="28"/>
        </w:rPr>
        <w:t xml:space="preserve">Случаи предоставления муниципальных услуг в упреждающем (проактивном) режиме в соответствии с настоящим пунктом устанавливаются администрат</w:t>
      </w:r>
      <w:r>
        <w:rPr>
          <w:sz w:val="28"/>
          <w:szCs w:val="28"/>
        </w:rPr>
        <w:t xml:space="preserve">ивным регламентом в порядке, установленном п.21.3 настоящих правил. В случае если предоставление муниципальных услуг в упреждающем (проактивном) режиме не предусмотрено, об этом указывается в административном регламенте предоставления муниципальной услуги.</w:t>
      </w:r>
      <w:r>
        <w:rPr>
          <w:sz w:val="28"/>
          <w:szCs w:val="28"/>
        </w:rPr>
      </w:r>
    </w:p>
    <w:p>
      <w:pPr>
        <w:pStyle w:val="620"/>
        <w:ind w:firstLine="567"/>
        <w:jc w:val="both"/>
        <w:spacing w:before="280" w:after="280"/>
        <w:rPr>
          <w:sz w:val="28"/>
          <w:szCs w:val="28"/>
        </w:rPr>
      </w:pPr>
      <w:r>
        <w:rPr>
          <w:sz w:val="28"/>
          <w:szCs w:val="28"/>
        </w:rPr>
        <w:t xml:space="preserve">6. Наименование административных регламентов определяется органами, предоставляющими муниципальные услуги, с учетом формулировки нормативного правового акта, которым предусмотрена соответствующая муниципальная услуга.</w:t>
      </w:r>
      <w:r>
        <w:rPr>
          <w:sz w:val="28"/>
          <w:szCs w:val="28"/>
        </w:rPr>
      </w:r>
    </w:p>
    <w:p>
      <w:pPr>
        <w:pStyle w:val="620"/>
        <w:ind w:firstLine="567"/>
        <w:jc w:val="both"/>
        <w:spacing w:before="280" w:after="280"/>
        <w:rPr>
          <w:sz w:val="28"/>
          <w:szCs w:val="28"/>
        </w:rPr>
      </w:pPr>
      <w:r>
        <w:rPr>
          <w:sz w:val="28"/>
          <w:szCs w:val="28"/>
        </w:rPr>
        <w:t xml:space="preserve"> </w:t>
      </w:r>
      <w:r>
        <w:rPr>
          <w:sz w:val="28"/>
          <w:szCs w:val="28"/>
        </w:rPr>
      </w:r>
    </w:p>
    <w:p>
      <w:pPr>
        <w:pStyle w:val="620"/>
        <w:ind w:firstLine="567"/>
        <w:jc w:val="both"/>
        <w:spacing w:before="280" w:after="280"/>
        <w:rPr>
          <w:sz w:val="28"/>
          <w:szCs w:val="28"/>
        </w:rPr>
      </w:pPr>
      <w:r/>
      <w:bookmarkStart w:id="3" w:name="P60"/>
      <w:r/>
      <w:bookmarkEnd w:id="3"/>
      <w:r>
        <w:rPr>
          <w:b/>
          <w:bCs/>
          <w:sz w:val="28"/>
          <w:szCs w:val="28"/>
        </w:rPr>
        <w:t xml:space="preserve">II. Требования к структуре и содержанию административных регламентов</w:t>
      </w:r>
      <w:r>
        <w:rPr>
          <w:sz w:val="28"/>
          <w:szCs w:val="28"/>
        </w:rPr>
      </w:r>
    </w:p>
    <w:p>
      <w:pPr>
        <w:pStyle w:val="620"/>
        <w:ind w:firstLine="567"/>
        <w:jc w:val="both"/>
        <w:spacing w:before="280" w:after="280"/>
        <w:rPr>
          <w:sz w:val="28"/>
          <w:szCs w:val="28"/>
        </w:rPr>
      </w:pPr>
      <w:r>
        <w:rPr>
          <w:sz w:val="28"/>
          <w:szCs w:val="28"/>
        </w:rPr>
        <w:t xml:space="preserve"> </w:t>
      </w:r>
      <w:r>
        <w:rPr>
          <w:sz w:val="28"/>
          <w:szCs w:val="28"/>
        </w:rPr>
      </w:r>
    </w:p>
    <w:p>
      <w:pPr>
        <w:pStyle w:val="620"/>
        <w:ind w:firstLine="567"/>
        <w:jc w:val="both"/>
        <w:spacing w:before="280" w:after="280"/>
        <w:rPr>
          <w:sz w:val="28"/>
          <w:szCs w:val="28"/>
        </w:rPr>
      </w:pPr>
      <w:r>
        <w:rPr>
          <w:sz w:val="28"/>
          <w:szCs w:val="28"/>
        </w:rPr>
        <w:t xml:space="preserve">7. В административный регламент включаются следующие разделы:</w:t>
      </w:r>
      <w:r>
        <w:rPr>
          <w:sz w:val="28"/>
          <w:szCs w:val="28"/>
        </w:rPr>
      </w:r>
    </w:p>
    <w:p>
      <w:pPr>
        <w:pStyle w:val="620"/>
        <w:ind w:firstLine="567"/>
        <w:jc w:val="both"/>
        <w:spacing w:before="280" w:after="280"/>
        <w:rPr>
          <w:sz w:val="28"/>
          <w:szCs w:val="28"/>
        </w:rPr>
      </w:pPr>
      <w:r>
        <w:rPr>
          <w:sz w:val="28"/>
          <w:szCs w:val="28"/>
        </w:rPr>
        <w:t xml:space="preserve">1) общие положения;</w:t>
      </w:r>
      <w:r>
        <w:rPr>
          <w:sz w:val="28"/>
          <w:szCs w:val="28"/>
        </w:rPr>
      </w:r>
    </w:p>
    <w:p>
      <w:pPr>
        <w:pStyle w:val="620"/>
        <w:ind w:firstLine="567"/>
        <w:jc w:val="both"/>
        <w:spacing w:before="280" w:after="280"/>
        <w:rPr>
          <w:sz w:val="28"/>
          <w:szCs w:val="28"/>
        </w:rPr>
      </w:pPr>
      <w:r>
        <w:rPr>
          <w:sz w:val="28"/>
          <w:szCs w:val="28"/>
        </w:rPr>
        <w:t xml:space="preserve">2) стандарт предоставления муниципальной услуги;</w:t>
      </w:r>
      <w:r>
        <w:rPr>
          <w:sz w:val="28"/>
          <w:szCs w:val="28"/>
        </w:rPr>
      </w:r>
    </w:p>
    <w:p>
      <w:pPr>
        <w:pStyle w:val="620"/>
        <w:ind w:firstLine="567"/>
        <w:jc w:val="both"/>
        <w:spacing w:before="280" w:after="280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bookmarkStart w:id="4" w:name="_Hlk189825683"/>
      <w:r>
        <w:rPr>
          <w:sz w:val="28"/>
          <w:szCs w:val="28"/>
        </w:rPr>
        <w:t xml:space="preserve">состав, последователь</w:t>
      </w:r>
      <w:r>
        <w:rPr>
          <w:sz w:val="28"/>
          <w:szCs w:val="28"/>
        </w:rPr>
        <w:t xml:space="preserve">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  <w:bookmarkEnd w:id="4"/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</w:p>
    <w:p>
      <w:pPr>
        <w:pStyle w:val="620"/>
        <w:ind w:firstLine="567"/>
        <w:jc w:val="both"/>
        <w:spacing w:before="280" w:after="280"/>
        <w:rPr>
          <w:sz w:val="28"/>
          <w:szCs w:val="28"/>
        </w:rPr>
      </w:pPr>
      <w:r>
        <w:rPr>
          <w:sz w:val="28"/>
          <w:szCs w:val="28"/>
        </w:rPr>
        <w:t xml:space="preserve">4) иные положения, предусмотренные нормативным правовым актом Правительства Российской Федерации.</w:t>
      </w:r>
      <w:r>
        <w:rPr>
          <w:sz w:val="28"/>
          <w:szCs w:val="28"/>
        </w:rPr>
      </w:r>
    </w:p>
    <w:p>
      <w:pPr>
        <w:pStyle w:val="620"/>
        <w:ind w:firstLine="567"/>
        <w:jc w:val="both"/>
        <w:spacing w:before="280" w:after="280"/>
        <w:rPr>
          <w:sz w:val="28"/>
          <w:szCs w:val="28"/>
        </w:rPr>
      </w:pPr>
      <w:r>
        <w:rPr>
          <w:sz w:val="28"/>
          <w:szCs w:val="28"/>
        </w:rPr>
        <w:t xml:space="preserve">8. В раздел «Общие положения» включаются следующие положения:</w:t>
      </w:r>
      <w:r>
        <w:rPr>
          <w:sz w:val="28"/>
          <w:szCs w:val="28"/>
        </w:rPr>
      </w:r>
    </w:p>
    <w:p>
      <w:pPr>
        <w:pStyle w:val="620"/>
        <w:ind w:firstLine="567"/>
        <w:jc w:val="both"/>
        <w:spacing w:before="280" w:after="280"/>
        <w:rPr>
          <w:sz w:val="28"/>
          <w:szCs w:val="28"/>
        </w:rPr>
      </w:pPr>
      <w:r>
        <w:rPr>
          <w:sz w:val="28"/>
          <w:szCs w:val="28"/>
        </w:rPr>
        <w:t xml:space="preserve">а) предмет регулирования административного регламента;</w:t>
      </w:r>
      <w:r>
        <w:rPr>
          <w:sz w:val="28"/>
          <w:szCs w:val="28"/>
        </w:rPr>
      </w:r>
    </w:p>
    <w:p>
      <w:pPr>
        <w:pStyle w:val="620"/>
        <w:ind w:firstLine="567"/>
        <w:jc w:val="both"/>
        <w:spacing w:before="280" w:after="280"/>
        <w:rPr>
          <w:sz w:val="28"/>
          <w:szCs w:val="28"/>
        </w:rPr>
      </w:pPr>
      <w:r>
        <w:rPr>
          <w:sz w:val="28"/>
          <w:szCs w:val="28"/>
        </w:rPr>
        <w:t xml:space="preserve">б) круг заявителей.</w:t>
      </w:r>
      <w:r>
        <w:rPr>
          <w:sz w:val="28"/>
          <w:szCs w:val="28"/>
        </w:rPr>
      </w:r>
    </w:p>
    <w:p>
      <w:pPr>
        <w:pStyle w:val="620"/>
        <w:ind w:firstLine="567"/>
        <w:jc w:val="both"/>
        <w:spacing w:before="280" w:after="280"/>
        <w:rPr>
          <w:sz w:val="28"/>
          <w:szCs w:val="28"/>
        </w:rPr>
      </w:pPr>
      <w:r>
        <w:rPr>
          <w:sz w:val="28"/>
          <w:szCs w:val="28"/>
        </w:rPr>
        <w:t xml:space="preserve">9. Раздел «Стандарт предоставления муниципальной услуги» состоит из следующих подразделов:</w:t>
      </w:r>
      <w:r>
        <w:rPr>
          <w:sz w:val="28"/>
          <w:szCs w:val="28"/>
        </w:rPr>
      </w:r>
    </w:p>
    <w:p>
      <w:pPr>
        <w:pStyle w:val="620"/>
        <w:ind w:firstLine="567"/>
        <w:jc w:val="both"/>
        <w:spacing w:before="280" w:after="280"/>
        <w:rPr>
          <w:sz w:val="28"/>
          <w:szCs w:val="28"/>
        </w:rPr>
      </w:pPr>
      <w:r>
        <w:rPr>
          <w:sz w:val="28"/>
          <w:szCs w:val="28"/>
        </w:rPr>
        <w:t xml:space="preserve">1) наименование муниципальной услуги;</w:t>
      </w:r>
      <w:r>
        <w:rPr>
          <w:sz w:val="28"/>
          <w:szCs w:val="28"/>
        </w:rPr>
      </w:r>
    </w:p>
    <w:p>
      <w:pPr>
        <w:pStyle w:val="620"/>
        <w:ind w:firstLine="567"/>
        <w:jc w:val="both"/>
        <w:spacing w:before="280" w:after="280"/>
        <w:rPr>
          <w:sz w:val="28"/>
          <w:szCs w:val="28"/>
        </w:rPr>
      </w:pPr>
      <w:r>
        <w:rPr>
          <w:sz w:val="28"/>
          <w:szCs w:val="28"/>
        </w:rPr>
        <w:t xml:space="preserve">2) наименование органа, предоставляющего муниципальную услугу;</w:t>
      </w:r>
      <w:r>
        <w:rPr>
          <w:sz w:val="28"/>
          <w:szCs w:val="28"/>
        </w:rPr>
      </w:r>
    </w:p>
    <w:p>
      <w:pPr>
        <w:pStyle w:val="620"/>
        <w:ind w:firstLine="567"/>
        <w:jc w:val="both"/>
        <w:spacing w:before="280" w:after="280"/>
        <w:rPr>
          <w:sz w:val="28"/>
          <w:szCs w:val="28"/>
        </w:rPr>
      </w:pPr>
      <w:r>
        <w:rPr>
          <w:sz w:val="28"/>
          <w:szCs w:val="28"/>
        </w:rPr>
        <w:t xml:space="preserve">3) результат предоставления муниципальной услуги;</w:t>
      </w:r>
      <w:r>
        <w:rPr>
          <w:sz w:val="28"/>
          <w:szCs w:val="28"/>
        </w:rPr>
      </w:r>
    </w:p>
    <w:p>
      <w:pPr>
        <w:pStyle w:val="620"/>
        <w:ind w:firstLine="567"/>
        <w:jc w:val="both"/>
        <w:spacing w:before="280" w:after="280"/>
        <w:rPr>
          <w:sz w:val="28"/>
          <w:szCs w:val="28"/>
        </w:rPr>
      </w:pPr>
      <w:r>
        <w:rPr>
          <w:sz w:val="28"/>
          <w:szCs w:val="28"/>
        </w:rPr>
        <w:t xml:space="preserve">4) срок предоставления муниципальной услуги;</w:t>
      </w:r>
      <w:r>
        <w:rPr>
          <w:sz w:val="28"/>
          <w:szCs w:val="28"/>
        </w:rPr>
      </w:r>
    </w:p>
    <w:p>
      <w:pPr>
        <w:pStyle w:val="620"/>
        <w:ind w:firstLine="567"/>
        <w:jc w:val="both"/>
        <w:spacing w:before="280" w:after="280"/>
        <w:rPr>
          <w:sz w:val="28"/>
          <w:szCs w:val="28"/>
        </w:rPr>
      </w:pPr>
      <w:r>
        <w:rPr>
          <w:sz w:val="28"/>
          <w:szCs w:val="28"/>
        </w:rPr>
        <w:t xml:space="preserve">5)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 раздел</w:t>
      </w:r>
      <w:r>
        <w:rPr>
          <w:sz w:val="28"/>
          <w:szCs w:val="28"/>
        </w:rPr>
        <w:t xml:space="preserve">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взаимодействия;</w:t>
      </w:r>
      <w:r>
        <w:rPr>
          <w:sz w:val="28"/>
          <w:szCs w:val="28"/>
        </w:rPr>
      </w:r>
    </w:p>
    <w:p>
      <w:pPr>
        <w:pStyle w:val="620"/>
        <w:ind w:firstLine="567"/>
        <w:jc w:val="both"/>
        <w:spacing w:before="280" w:after="280"/>
        <w:rPr>
          <w:sz w:val="28"/>
          <w:szCs w:val="28"/>
        </w:rPr>
      </w:pPr>
      <w:r>
        <w:rPr>
          <w:sz w:val="28"/>
          <w:szCs w:val="28"/>
        </w:rPr>
        <w:t xml:space="preserve">6) исчерпывающий перечень оснований для отказа в приеме документов, необходимых для предоставления муниципальной услуги;</w:t>
      </w:r>
      <w:r>
        <w:rPr>
          <w:sz w:val="28"/>
          <w:szCs w:val="28"/>
        </w:rPr>
      </w:r>
    </w:p>
    <w:p>
      <w:pPr>
        <w:pStyle w:val="620"/>
        <w:ind w:firstLine="567"/>
        <w:jc w:val="both"/>
        <w:spacing w:before="280" w:after="280"/>
        <w:rPr>
          <w:sz w:val="28"/>
          <w:szCs w:val="28"/>
        </w:rPr>
      </w:pPr>
      <w:r>
        <w:rPr>
          <w:sz w:val="28"/>
          <w:szCs w:val="28"/>
        </w:rPr>
        <w:t xml:space="preserve">7) исчерпывающий перечень оснований для приостановления предоставления муниципальной услуги или отказа в предоставлении муниципальной услуги;</w:t>
      </w:r>
      <w:r>
        <w:rPr>
          <w:sz w:val="28"/>
          <w:szCs w:val="28"/>
        </w:rPr>
      </w:r>
    </w:p>
    <w:p>
      <w:pPr>
        <w:pStyle w:val="620"/>
        <w:ind w:firstLine="567"/>
        <w:jc w:val="both"/>
        <w:spacing w:before="280" w:after="280"/>
        <w:rPr>
          <w:sz w:val="28"/>
          <w:szCs w:val="28"/>
        </w:rPr>
      </w:pPr>
      <w:r>
        <w:rPr>
          <w:sz w:val="28"/>
          <w:szCs w:val="28"/>
        </w:rPr>
        <w:t xml:space="preserve">8) размер платы, взимаемой с заявителя при предоставлении муниципальной услуги, и с</w:t>
      </w:r>
      <w:r>
        <w:rPr>
          <w:sz w:val="28"/>
          <w:szCs w:val="28"/>
        </w:rPr>
        <w:t xml:space="preserve">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  <w:r>
        <w:rPr>
          <w:sz w:val="28"/>
          <w:szCs w:val="28"/>
        </w:rPr>
      </w:r>
    </w:p>
    <w:p>
      <w:pPr>
        <w:pStyle w:val="620"/>
        <w:ind w:firstLine="567"/>
        <w:jc w:val="both"/>
        <w:spacing w:before="280" w:after="280"/>
        <w:rPr>
          <w:sz w:val="28"/>
          <w:szCs w:val="28"/>
        </w:rPr>
      </w:pPr>
      <w:r>
        <w:rPr>
          <w:sz w:val="28"/>
          <w:szCs w:val="28"/>
        </w:rPr>
        <w:t xml:space="preserve">9) максимальный срок ожида</w:t>
      </w:r>
      <w:r>
        <w:rPr>
          <w:sz w:val="28"/>
          <w:szCs w:val="28"/>
        </w:rPr>
        <w:t xml:space="preserve">ния в очереди при подаче запроса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орган, предоставляющий муниципальные услуги, или многофункциональный центр;</w:t>
      </w:r>
      <w:r>
        <w:rPr>
          <w:sz w:val="28"/>
          <w:szCs w:val="28"/>
        </w:rPr>
      </w:r>
    </w:p>
    <w:p>
      <w:pPr>
        <w:pStyle w:val="620"/>
        <w:ind w:firstLine="567"/>
        <w:jc w:val="both"/>
        <w:spacing w:before="280" w:after="280"/>
        <w:rPr>
          <w:sz w:val="28"/>
          <w:szCs w:val="28"/>
        </w:rPr>
      </w:pPr>
      <w:r>
        <w:rPr>
          <w:sz w:val="28"/>
          <w:szCs w:val="28"/>
        </w:rPr>
        <w:t xml:space="preserve">10) срок регистрации запроса заявителя о предоставлении муниципальной услуги;</w:t>
      </w:r>
      <w:r>
        <w:rPr>
          <w:sz w:val="28"/>
          <w:szCs w:val="28"/>
        </w:rPr>
      </w:r>
    </w:p>
    <w:p>
      <w:pPr>
        <w:pStyle w:val="620"/>
        <w:ind w:firstLine="567"/>
        <w:jc w:val="both"/>
        <w:spacing w:before="280" w:after="280"/>
        <w:rPr>
          <w:sz w:val="28"/>
          <w:szCs w:val="28"/>
        </w:rPr>
      </w:pPr>
      <w:r>
        <w:rPr>
          <w:sz w:val="28"/>
          <w:szCs w:val="28"/>
        </w:rPr>
        <w:t xml:space="preserve">11) требования к помещениям, в которых предоставляются муниципальные услуги, к залу ожидания, местам для заполнения запросов о предоставлении муниципальной услуги, информационным стендам с образцами их заполнения и п</w:t>
      </w:r>
      <w:r>
        <w:rPr>
          <w:sz w:val="28"/>
          <w:szCs w:val="28"/>
        </w:rPr>
        <w:t xml:space="preserve">еречнем документов и (или) информации, необходимых для предоставления каждой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инвалидов;</w:t>
      </w:r>
      <w:r>
        <w:rPr>
          <w:sz w:val="28"/>
          <w:szCs w:val="28"/>
        </w:rPr>
      </w:r>
    </w:p>
    <w:p>
      <w:pPr>
        <w:pStyle w:val="620"/>
        <w:ind w:firstLine="567"/>
        <w:jc w:val="both"/>
        <w:spacing w:before="280" w:after="280"/>
        <w:rPr>
          <w:sz w:val="28"/>
          <w:szCs w:val="28"/>
        </w:rPr>
      </w:pPr>
      <w:r>
        <w:rPr>
          <w:sz w:val="28"/>
          <w:szCs w:val="28"/>
        </w:rPr>
        <w:t xml:space="preserve">12) показатели доступности и качества муниципальных услуг;</w:t>
      </w:r>
      <w:r>
        <w:rPr>
          <w:sz w:val="28"/>
          <w:szCs w:val="28"/>
        </w:rPr>
      </w:r>
    </w:p>
    <w:p>
      <w:pPr>
        <w:pStyle w:val="620"/>
        <w:ind w:firstLine="567"/>
        <w:jc w:val="both"/>
        <w:spacing w:before="280" w:after="280"/>
        <w:rPr>
          <w:sz w:val="28"/>
          <w:szCs w:val="28"/>
        </w:rPr>
      </w:pPr>
      <w:r>
        <w:rPr>
          <w:sz w:val="28"/>
          <w:szCs w:val="28"/>
        </w:rPr>
        <w:t xml:space="preserve">13) иные требования,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форме.</w:t>
      </w:r>
      <w:r>
        <w:rPr>
          <w:sz w:val="28"/>
          <w:szCs w:val="28"/>
        </w:rPr>
      </w:r>
    </w:p>
    <w:p>
      <w:pPr>
        <w:pStyle w:val="620"/>
        <w:ind w:firstLine="567"/>
        <w:jc w:val="both"/>
        <w:spacing w:before="280" w:after="280"/>
        <w:rPr>
          <w:sz w:val="28"/>
          <w:szCs w:val="28"/>
        </w:rPr>
      </w:pPr>
      <w:r>
        <w:rPr>
          <w:sz w:val="28"/>
          <w:szCs w:val="28"/>
        </w:rPr>
        <w:t xml:space="preserve">10. Подраздел «Наименование органа, предоставляющего муниципальную услугу» должен включать следующие положения:</w:t>
      </w:r>
      <w:r>
        <w:rPr>
          <w:sz w:val="28"/>
          <w:szCs w:val="28"/>
        </w:rPr>
      </w:r>
    </w:p>
    <w:p>
      <w:pPr>
        <w:pStyle w:val="620"/>
        <w:ind w:firstLine="567"/>
        <w:jc w:val="both"/>
        <w:spacing w:before="280" w:after="280"/>
        <w:rPr>
          <w:sz w:val="28"/>
          <w:szCs w:val="28"/>
        </w:rPr>
      </w:pPr>
      <w:r>
        <w:rPr>
          <w:sz w:val="28"/>
          <w:szCs w:val="28"/>
        </w:rPr>
        <w:t xml:space="preserve">а) полное наименование органа, предоставляющего муниципальную услугу;</w:t>
      </w:r>
      <w:r>
        <w:rPr>
          <w:sz w:val="28"/>
          <w:szCs w:val="28"/>
        </w:rPr>
      </w:r>
    </w:p>
    <w:p>
      <w:pPr>
        <w:pStyle w:val="620"/>
        <w:ind w:firstLine="567"/>
        <w:jc w:val="both"/>
        <w:spacing w:before="280" w:after="280"/>
        <w:rPr>
          <w:sz w:val="28"/>
          <w:szCs w:val="28"/>
        </w:rPr>
      </w:pPr>
      <w:r>
        <w:rPr>
          <w:sz w:val="28"/>
          <w:szCs w:val="28"/>
        </w:rPr>
        <w:t xml:space="preserve">б) возможность (невозможность) принятия</w:t>
      </w:r>
      <w:r>
        <w:rPr>
          <w:sz w:val="28"/>
          <w:szCs w:val="28"/>
        </w:rPr>
        <w:t xml:space="preserve"> многофункциональным центром решения об отказе в приеме запроса и документов и (или) информации, необходимых для предоставления муниципальной услуги (в случае, если запрос о предоставлении муниципальной услуги может быть подан в многофункциональный центр).</w:t>
      </w:r>
      <w:r>
        <w:rPr>
          <w:sz w:val="28"/>
          <w:szCs w:val="28"/>
        </w:rPr>
      </w:r>
    </w:p>
    <w:p>
      <w:pPr>
        <w:pStyle w:val="620"/>
        <w:ind w:firstLine="567"/>
        <w:jc w:val="both"/>
        <w:spacing w:before="280" w:after="280"/>
        <w:rPr>
          <w:sz w:val="28"/>
          <w:szCs w:val="28"/>
        </w:rPr>
      </w:pPr>
      <w:r/>
      <w:bookmarkStart w:id="5" w:name="P91"/>
      <w:r/>
      <w:bookmarkEnd w:id="5"/>
      <w:r>
        <w:rPr>
          <w:sz w:val="28"/>
          <w:szCs w:val="28"/>
        </w:rPr>
        <w:t xml:space="preserve">11. Содержание подраздела «Результат предоставления муниципальной услуги».</w:t>
      </w:r>
      <w:r>
        <w:rPr>
          <w:sz w:val="28"/>
          <w:szCs w:val="28"/>
        </w:rPr>
      </w:r>
    </w:p>
    <w:p>
      <w:pPr>
        <w:pStyle w:val="620"/>
        <w:ind w:firstLine="567"/>
        <w:jc w:val="both"/>
        <w:spacing w:before="280" w:after="280"/>
        <w:rPr>
          <w:sz w:val="28"/>
          <w:szCs w:val="28"/>
        </w:rPr>
      </w:pPr>
      <w:r>
        <w:rPr>
          <w:sz w:val="28"/>
          <w:szCs w:val="28"/>
        </w:rPr>
        <w:t xml:space="preserve">11.1. Указанный подраздел должен включать следующие положения:</w:t>
      </w:r>
      <w:r>
        <w:rPr>
          <w:sz w:val="28"/>
          <w:szCs w:val="28"/>
        </w:rPr>
      </w:r>
    </w:p>
    <w:p>
      <w:pPr>
        <w:pStyle w:val="620"/>
        <w:ind w:firstLine="567"/>
        <w:jc w:val="both"/>
        <w:spacing w:before="280" w:after="280"/>
        <w:rPr>
          <w:sz w:val="28"/>
          <w:szCs w:val="28"/>
        </w:rPr>
      </w:pPr>
      <w:r>
        <w:rPr>
          <w:sz w:val="28"/>
          <w:szCs w:val="28"/>
        </w:rPr>
        <w:t xml:space="preserve">наименование результата (результатов) предоставления муниципальной услуги;</w:t>
      </w:r>
      <w:r>
        <w:rPr>
          <w:sz w:val="28"/>
          <w:szCs w:val="28"/>
        </w:rPr>
      </w:r>
    </w:p>
    <w:p>
      <w:pPr>
        <w:pStyle w:val="620"/>
        <w:ind w:firstLine="567"/>
        <w:jc w:val="both"/>
        <w:spacing w:before="280" w:after="280"/>
        <w:rPr>
          <w:sz w:val="28"/>
          <w:szCs w:val="28"/>
        </w:rPr>
      </w:pPr>
      <w:r>
        <w:rPr>
          <w:sz w:val="28"/>
          <w:szCs w:val="28"/>
        </w:rPr>
        <w:t xml:space="preserve">наименование документа, содержащего решение о предоставлении муниципальной услуги, на основании которого заявителю предоставляется результат муниципальной услуги (при наличии);</w:t>
      </w:r>
      <w:r>
        <w:rPr>
          <w:sz w:val="28"/>
          <w:szCs w:val="28"/>
        </w:rPr>
      </w:r>
    </w:p>
    <w:p>
      <w:pPr>
        <w:pStyle w:val="620"/>
        <w:ind w:firstLine="567"/>
        <w:jc w:val="both"/>
        <w:spacing w:before="280" w:after="280"/>
        <w:rPr>
          <w:sz w:val="28"/>
          <w:szCs w:val="28"/>
        </w:rPr>
      </w:pPr>
      <w:r>
        <w:rPr>
          <w:sz w:val="28"/>
          <w:szCs w:val="28"/>
        </w:rPr>
        <w:t xml:space="preserve">способ получения результата предоставления муниципальной услуги.</w:t>
      </w:r>
      <w:r>
        <w:rPr>
          <w:sz w:val="28"/>
          <w:szCs w:val="28"/>
        </w:rPr>
      </w:r>
    </w:p>
    <w:p>
      <w:pPr>
        <w:pStyle w:val="620"/>
        <w:ind w:firstLine="567"/>
        <w:jc w:val="both"/>
        <w:spacing w:before="280" w:after="280"/>
        <w:rPr>
          <w:sz w:val="28"/>
          <w:szCs w:val="28"/>
        </w:rPr>
      </w:pPr>
      <w:r>
        <w:rPr>
          <w:sz w:val="28"/>
          <w:szCs w:val="28"/>
        </w:rPr>
        <w:t xml:space="preserve">11.2. При получении результатов предоставления муниципальн</w:t>
      </w:r>
      <w:r>
        <w:rPr>
          <w:sz w:val="28"/>
          <w:szCs w:val="28"/>
        </w:rPr>
        <w:t xml:space="preserve">ой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муниципальной услуги в отношении несовершеннолетнего, оформленных в форме документа на бу</w:t>
      </w:r>
      <w:r>
        <w:rPr>
          <w:sz w:val="28"/>
          <w:szCs w:val="28"/>
        </w:rPr>
        <w:t xml:space="preserve">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муниципальной услуги ук</w:t>
      </w:r>
      <w:r>
        <w:rPr>
          <w:sz w:val="28"/>
          <w:szCs w:val="28"/>
        </w:rPr>
        <w:t xml:space="preserve">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 отношении несовершеннолетнего.</w:t>
      </w:r>
      <w:r>
        <w:rPr>
          <w:sz w:val="28"/>
          <w:szCs w:val="28"/>
        </w:rPr>
      </w:r>
    </w:p>
    <w:p>
      <w:pPr>
        <w:pStyle w:val="620"/>
        <w:ind w:firstLine="567"/>
        <w:jc w:val="both"/>
        <w:spacing w:before="280" w:after="280"/>
        <w:rPr>
          <w:sz w:val="28"/>
          <w:szCs w:val="28"/>
        </w:rPr>
      </w:pPr>
      <w:r/>
      <w:bookmarkStart w:id="6" w:name="Par1"/>
      <w:r/>
      <w:bookmarkEnd w:id="6"/>
      <w:r>
        <w:rPr>
          <w:sz w:val="28"/>
          <w:szCs w:val="28"/>
        </w:rPr>
        <w:t xml:space="preserve">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</w:t>
      </w:r>
      <w:r>
        <w:rPr>
          <w:sz w:val="28"/>
          <w:szCs w:val="28"/>
        </w:rPr>
        <w:t xml:space="preserve">редставителю несовершеннолетнего в случае,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лично.</w:t>
      </w:r>
      <w:r>
        <w:rPr>
          <w:sz w:val="28"/>
          <w:szCs w:val="28"/>
        </w:rPr>
      </w:r>
    </w:p>
    <w:p>
      <w:pPr>
        <w:pStyle w:val="620"/>
        <w:ind w:firstLine="567"/>
        <w:jc w:val="both"/>
        <w:spacing w:before="280" w:after="280"/>
        <w:rPr>
          <w:sz w:val="28"/>
          <w:szCs w:val="28"/>
        </w:rPr>
      </w:pPr>
      <w:r>
        <w:rPr>
          <w:sz w:val="28"/>
          <w:szCs w:val="28"/>
        </w:rPr>
        <w:t xml:space="preserve">Порядок предоставления результатов муниципальной услуги в отношении несовершеннолетнего, оформленных в форме документа на бумажном носителе, в том числе способы и сроки их предостав</w:t>
      </w:r>
      <w:r>
        <w:rPr>
          <w:sz w:val="28"/>
          <w:szCs w:val="28"/>
        </w:rPr>
        <w:t xml:space="preserve">ления, законному представителю несовершеннолетнего, не являющемуся заявителем, устанавливается административным регламентом в подразделе «Результат предоставления муниципальной услуги» с учетом требования, предусмотренного абзацем вторым настоящего пункта.</w:t>
      </w:r>
      <w:r>
        <w:rPr>
          <w:sz w:val="28"/>
          <w:szCs w:val="28"/>
        </w:rPr>
      </w:r>
    </w:p>
    <w:p>
      <w:pPr>
        <w:pStyle w:val="620"/>
        <w:ind w:firstLine="567"/>
        <w:jc w:val="both"/>
        <w:spacing w:before="280" w:after="280"/>
        <w:rPr>
          <w:sz w:val="28"/>
          <w:szCs w:val="28"/>
        </w:rPr>
      </w:pPr>
      <w:r>
        <w:rPr>
          <w:sz w:val="28"/>
          <w:szCs w:val="28"/>
        </w:rPr>
        <w:t xml:space="preserve">12. Подраздел «С</w:t>
      </w:r>
      <w:r>
        <w:rPr>
          <w:sz w:val="28"/>
          <w:szCs w:val="28"/>
        </w:rPr>
        <w:t xml:space="preserve">рок предоставления муниципальной услуги» должен включать сведения о максимальном сроке предоставления муниципальной услуги, который исчисляется со дня регистрации запроса и документов и (или) информации, необходимых для предоставления муниципальной услуги:</w:t>
      </w:r>
      <w:r>
        <w:rPr>
          <w:sz w:val="28"/>
          <w:szCs w:val="28"/>
        </w:rPr>
      </w:r>
    </w:p>
    <w:p>
      <w:pPr>
        <w:pStyle w:val="620"/>
        <w:ind w:firstLine="567"/>
        <w:jc w:val="both"/>
        <w:spacing w:before="280" w:after="280"/>
        <w:rPr>
          <w:sz w:val="28"/>
          <w:szCs w:val="28"/>
        </w:rPr>
      </w:pPr>
      <w:r>
        <w:rPr>
          <w:sz w:val="28"/>
          <w:szCs w:val="28"/>
        </w:rPr>
        <w:t xml:space="preserve">в органе,</w:t>
      </w:r>
      <w:r>
        <w:rPr>
          <w:sz w:val="28"/>
          <w:szCs w:val="28"/>
        </w:rPr>
        <w:t xml:space="preserve"> предоставляющем муниципальную услугу, в том числе в случае, если запрос и документы и (или) информация, необходимые для предоставления муниципальной услуги, поданы заявителем посредством почтового отправления в орган, предоставляющий муниципальную услугу;</w:t>
      </w:r>
      <w:r>
        <w:rPr>
          <w:sz w:val="28"/>
          <w:szCs w:val="28"/>
        </w:rPr>
      </w:r>
    </w:p>
    <w:p>
      <w:pPr>
        <w:pStyle w:val="620"/>
        <w:ind w:firstLine="567"/>
        <w:jc w:val="both"/>
        <w:spacing w:before="280" w:after="280"/>
        <w:rPr>
          <w:sz w:val="28"/>
          <w:szCs w:val="28"/>
        </w:rPr>
      </w:pPr>
      <w:r>
        <w:rPr>
          <w:sz w:val="28"/>
          <w:szCs w:val="28"/>
        </w:rPr>
        <w:t xml:space="preserve">в форме электронно</w:t>
      </w:r>
      <w:r>
        <w:rPr>
          <w:sz w:val="28"/>
          <w:szCs w:val="28"/>
        </w:rPr>
        <w:t xml:space="preserve">го документа в личном кабинете путем размещения в федеральной государственной информационной системе «Единый портал государственных и муниципальных услуг (функций)» (www.gosuslugi.ru) (далее - Единый портал) и (или) посредством модуля Портал государственны</w:t>
      </w:r>
      <w:r>
        <w:rPr>
          <w:sz w:val="28"/>
          <w:szCs w:val="28"/>
        </w:rPr>
        <w:t xml:space="preserve">х и муниципальных услуг (функций) Пензенской области Комплексной системы предоставления государственных и муниципальных услуг Пензенской области в соответствии с нормативными правовыми актами Пензенской области (далее при совместном упоминании – порталы); </w:t>
      </w:r>
      <w:r>
        <w:rPr>
          <w:sz w:val="28"/>
          <w:szCs w:val="28"/>
        </w:rPr>
      </w:r>
    </w:p>
    <w:p>
      <w:pPr>
        <w:pStyle w:val="620"/>
        <w:ind w:firstLine="567"/>
        <w:jc w:val="both"/>
        <w:spacing w:before="280" w:after="280"/>
        <w:rPr>
          <w:sz w:val="28"/>
          <w:szCs w:val="28"/>
        </w:rPr>
      </w:pPr>
      <w:r>
        <w:rPr>
          <w:sz w:val="28"/>
          <w:szCs w:val="28"/>
        </w:rPr>
        <w:t xml:space="preserve">в многофункциональном центре в случае, если запрос и документы и (или) информация, необходимые для предоставления муниципальной услуги, поданы заявителем в многофункциональном центре.</w:t>
      </w:r>
      <w:r>
        <w:rPr>
          <w:sz w:val="28"/>
          <w:szCs w:val="28"/>
        </w:rPr>
      </w:r>
    </w:p>
    <w:p>
      <w:pPr>
        <w:pStyle w:val="620"/>
        <w:ind w:firstLine="567"/>
        <w:jc w:val="both"/>
        <w:spacing w:before="280" w:after="280"/>
        <w:rPr>
          <w:sz w:val="28"/>
          <w:szCs w:val="28"/>
        </w:rPr>
      </w:pPr>
      <w:r>
        <w:rPr>
          <w:sz w:val="28"/>
          <w:szCs w:val="28"/>
        </w:rPr>
        <w:t xml:space="preserve">13. Подраздел «Исчерпывающий перечень документов, необходимых в </w:t>
      </w:r>
      <w:r>
        <w:rPr>
          <w:sz w:val="28"/>
          <w:szCs w:val="28"/>
        </w:rPr>
        <w:t xml:space="preserve">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</w:t>
      </w:r>
      <w:r>
        <w:rPr>
          <w:sz w:val="28"/>
          <w:szCs w:val="28"/>
        </w:rPr>
        <w:t xml:space="preserve">по собственной инициативе, так как они подлежат представлению в рамках межведомственного информационного взаимодействия» должен включать указанные сведения. В данном подразделе также указываются способы подачи запроса о предоставлении муниципальной услуги.</w:t>
      </w:r>
      <w:r>
        <w:rPr>
          <w:sz w:val="28"/>
          <w:szCs w:val="28"/>
        </w:rPr>
      </w:r>
    </w:p>
    <w:p>
      <w:pPr>
        <w:pStyle w:val="620"/>
        <w:ind w:firstLine="567"/>
        <w:jc w:val="both"/>
        <w:spacing w:before="280" w:after="280"/>
        <w:rPr>
          <w:sz w:val="28"/>
          <w:szCs w:val="28"/>
        </w:rPr>
      </w:pPr>
      <w:r>
        <w:rPr>
          <w:sz w:val="28"/>
          <w:szCs w:val="28"/>
        </w:rPr>
        <w:t xml:space="preserve">Формы запроса о предоставлении муниципальной услуги и иных документов, подаваемых заявителем в связи с предоставлением муниципальной у</w:t>
      </w:r>
      <w:r>
        <w:rPr>
          <w:sz w:val="28"/>
          <w:szCs w:val="28"/>
        </w:rPr>
        <w:t xml:space="preserve">слуги, приводятся в качестве приложений к административному регламенту, за исключением случаев, когда формы указанных документов установлены актами Президента Российской Федерации, Правительства Российской Федерации или иными нормативными правовыми актами.</w:t>
      </w:r>
      <w:r>
        <w:rPr>
          <w:sz w:val="28"/>
          <w:szCs w:val="28"/>
        </w:rPr>
      </w:r>
    </w:p>
    <w:p>
      <w:pPr>
        <w:pStyle w:val="620"/>
        <w:ind w:firstLine="567"/>
        <w:jc w:val="both"/>
        <w:spacing w:before="280" w:after="280"/>
        <w:rPr>
          <w:sz w:val="28"/>
          <w:szCs w:val="28"/>
        </w:rPr>
      </w:pPr>
      <w:r>
        <w:rPr>
          <w:sz w:val="28"/>
          <w:szCs w:val="28"/>
        </w:rPr>
        <w:t xml:space="preserve">14. Подраздел «Исчерпывающий перечень оснований для отказа в приеме документов, необходимых для предоставления муниципальной услуги» должен включать информацию об исчерпывающем перечне таких оснований.</w:t>
      </w:r>
      <w:r>
        <w:rPr>
          <w:sz w:val="28"/>
          <w:szCs w:val="28"/>
        </w:rPr>
      </w:r>
    </w:p>
    <w:p>
      <w:pPr>
        <w:pStyle w:val="620"/>
        <w:ind w:firstLine="567"/>
        <w:jc w:val="both"/>
        <w:spacing w:before="280" w:after="280"/>
        <w:rPr>
          <w:sz w:val="28"/>
          <w:szCs w:val="28"/>
        </w:rPr>
      </w:pPr>
      <w:r>
        <w:rPr>
          <w:sz w:val="28"/>
          <w:szCs w:val="28"/>
        </w:rPr>
        <w:t xml:space="preserve">В случае отсутствия таких оснований следует прямо указать в тексте административного регламента на их отсутствие.</w:t>
      </w:r>
      <w:r>
        <w:rPr>
          <w:sz w:val="28"/>
          <w:szCs w:val="28"/>
        </w:rPr>
      </w:r>
    </w:p>
    <w:p>
      <w:pPr>
        <w:pStyle w:val="620"/>
        <w:ind w:firstLine="567"/>
        <w:jc w:val="both"/>
        <w:spacing w:before="280" w:after="280"/>
        <w:rPr>
          <w:sz w:val="28"/>
          <w:szCs w:val="28"/>
        </w:rPr>
      </w:pPr>
      <w:r>
        <w:rPr>
          <w:sz w:val="28"/>
          <w:szCs w:val="28"/>
        </w:rPr>
        <w:t xml:space="preserve">15. Подраздел «Исчерпывающий перечень оснований для приостановления предоставления муниципальной услуги или отказа в предоставлении муниципальной услуги» должен включать сведения о приведении исчерпывающего перечня таких оснований.</w:t>
      </w:r>
      <w:r>
        <w:rPr>
          <w:sz w:val="28"/>
          <w:szCs w:val="28"/>
        </w:rPr>
      </w:r>
    </w:p>
    <w:p>
      <w:pPr>
        <w:pStyle w:val="620"/>
        <w:ind w:firstLine="567"/>
        <w:jc w:val="both"/>
        <w:spacing w:before="280" w:after="280"/>
        <w:rPr>
          <w:sz w:val="28"/>
          <w:szCs w:val="28"/>
        </w:rPr>
      </w:pPr>
      <w:r>
        <w:rPr>
          <w:sz w:val="28"/>
          <w:szCs w:val="28"/>
        </w:rPr>
        <w:t xml:space="preserve">В случае отсутствия таких оснований следует указать в тексте административного регламента на их отсутствие.</w:t>
      </w:r>
      <w:r>
        <w:rPr>
          <w:sz w:val="28"/>
          <w:szCs w:val="28"/>
        </w:rPr>
      </w:r>
    </w:p>
    <w:p>
      <w:pPr>
        <w:pStyle w:val="620"/>
        <w:ind w:firstLine="567"/>
        <w:jc w:val="both"/>
        <w:spacing w:before="280" w:after="280"/>
        <w:rPr>
          <w:sz w:val="28"/>
          <w:szCs w:val="28"/>
        </w:rPr>
      </w:pPr>
      <w:r>
        <w:rPr>
          <w:sz w:val="28"/>
          <w:szCs w:val="28"/>
        </w:rPr>
        <w:t xml:space="preserve">Исчерпывающий перечень оснований для приостановления предоставления муниципальной услуги указывается в случае, если возможность приостановления предоставления муниципальной услуги предусмотрена законодательством Российской Федерации.</w:t>
      </w:r>
      <w:r>
        <w:rPr>
          <w:sz w:val="28"/>
          <w:szCs w:val="28"/>
        </w:rPr>
      </w:r>
    </w:p>
    <w:p>
      <w:pPr>
        <w:pStyle w:val="620"/>
        <w:ind w:firstLine="567"/>
        <w:jc w:val="both"/>
        <w:spacing w:before="280" w:after="280"/>
        <w:rPr>
          <w:sz w:val="28"/>
          <w:szCs w:val="28"/>
        </w:rPr>
      </w:pPr>
      <w:r>
        <w:rPr>
          <w:sz w:val="28"/>
          <w:szCs w:val="28"/>
        </w:rPr>
        <w:t xml:space="preserve">16. В подраздел «Размер платы, взимаемой с заявителя при предоставлении муниципальной услуги, и способы ее взимания в случаях, пр</w:t>
      </w:r>
      <w:r>
        <w:rPr>
          <w:sz w:val="28"/>
          <w:szCs w:val="28"/>
        </w:rPr>
        <w:t xml:space="preserve">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актами» включаются следующие положения:</w:t>
      </w:r>
      <w:r>
        <w:rPr>
          <w:sz w:val="28"/>
          <w:szCs w:val="28"/>
        </w:rPr>
      </w:r>
    </w:p>
    <w:p>
      <w:pPr>
        <w:pStyle w:val="620"/>
        <w:ind w:firstLine="567"/>
        <w:jc w:val="both"/>
        <w:spacing w:before="280" w:after="280"/>
        <w:rPr>
          <w:sz w:val="28"/>
          <w:szCs w:val="28"/>
        </w:rPr>
      </w:pPr>
      <w:r>
        <w:rPr>
          <w:sz w:val="28"/>
          <w:szCs w:val="28"/>
        </w:rPr>
        <w:t xml:space="preserve">а) сведения о размещении на Едином портале государственных и муниципальных услуг информации о размере государственной пошлины или иной платы, взимаемой за предоставление муниципальной услуги;</w:t>
      </w:r>
      <w:r>
        <w:rPr>
          <w:sz w:val="28"/>
          <w:szCs w:val="28"/>
        </w:rPr>
      </w:r>
    </w:p>
    <w:p>
      <w:pPr>
        <w:pStyle w:val="620"/>
        <w:ind w:firstLine="567"/>
        <w:jc w:val="both"/>
        <w:spacing w:before="280" w:after="280"/>
      </w:pPr>
      <w:r>
        <w:rPr>
          <w:sz w:val="28"/>
          <w:szCs w:val="28"/>
        </w:rPr>
        <w:t xml:space="preserve">б) порядок и с</w:t>
      </w:r>
      <w:r>
        <w:rPr>
          <w:sz w:val="28"/>
          <w:szCs w:val="28"/>
        </w:rPr>
        <w:t xml:space="preserve">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актами.</w:t>
      </w:r>
      <w:r/>
    </w:p>
    <w:p>
      <w:pPr>
        <w:pStyle w:val="620"/>
        <w:ind w:firstLine="567"/>
        <w:jc w:val="both"/>
        <w:spacing w:before="280" w:after="280"/>
        <w:rPr>
          <w:sz w:val="28"/>
          <w:szCs w:val="28"/>
        </w:rPr>
      </w:pPr>
      <w:r>
        <w:rPr>
          <w:sz w:val="28"/>
          <w:szCs w:val="28"/>
        </w:rPr>
        <w:t xml:space="preserve">В случае когда плата при предоставлении муниципальной услуги не взимается, следует указать на это в тексте административного регламента.</w:t>
      </w:r>
      <w:r>
        <w:rPr>
          <w:sz w:val="28"/>
          <w:szCs w:val="28"/>
        </w:rPr>
      </w:r>
    </w:p>
    <w:p>
      <w:pPr>
        <w:pStyle w:val="620"/>
        <w:ind w:firstLine="567"/>
        <w:jc w:val="both"/>
        <w:spacing w:before="280" w:after="280"/>
        <w:rPr>
          <w:sz w:val="28"/>
          <w:szCs w:val="28"/>
        </w:rPr>
      </w:pPr>
      <w:r>
        <w:rPr>
          <w:sz w:val="28"/>
          <w:szCs w:val="28"/>
        </w:rPr>
        <w:t xml:space="preserve">17. Подраздел «Максимальный срок ожидания в очереди при подаче запроса о предоставлен</w:t>
      </w:r>
      <w:r>
        <w:rPr>
          <w:sz w:val="28"/>
          <w:szCs w:val="28"/>
        </w:rPr>
        <w:t xml:space="preserve">ии муниципальной услуги и при получении результата предоставления муниципальной услуги в случае обращения заявителя непосредственно в орган, предоставляющий муниципальные услуги, или многофункциональный центр» содержит указание на указанный срок в минутах.</w:t>
      </w:r>
      <w:r>
        <w:rPr>
          <w:sz w:val="28"/>
          <w:szCs w:val="28"/>
        </w:rPr>
      </w:r>
    </w:p>
    <w:p>
      <w:pPr>
        <w:pStyle w:val="620"/>
        <w:ind w:firstLine="567"/>
        <w:jc w:val="both"/>
        <w:spacing w:before="280" w:after="280"/>
        <w:rPr>
          <w:sz w:val="28"/>
          <w:szCs w:val="28"/>
        </w:rPr>
      </w:pPr>
      <w:r>
        <w:rPr>
          <w:sz w:val="28"/>
          <w:szCs w:val="28"/>
        </w:rPr>
        <w:t xml:space="preserve">18. В </w:t>
      </w:r>
      <w:r>
        <w:rPr>
          <w:sz w:val="28"/>
          <w:szCs w:val="28"/>
        </w:rPr>
        <w:t xml:space="preserve">подраздел «Требования к помещениям, в которых предоставляются муниципальные услуги,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 и (или) информ</w:t>
      </w:r>
      <w:r>
        <w:rPr>
          <w:sz w:val="28"/>
          <w:szCs w:val="28"/>
        </w:rPr>
        <w:t xml:space="preserve">ации, необходимых для предоставления каждой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инвалидов» включаются указанные требования.</w:t>
      </w:r>
      <w:r>
        <w:rPr>
          <w:sz w:val="28"/>
          <w:szCs w:val="28"/>
        </w:rPr>
      </w:r>
    </w:p>
    <w:p>
      <w:pPr>
        <w:pStyle w:val="620"/>
        <w:ind w:firstLine="567"/>
        <w:jc w:val="both"/>
        <w:spacing w:before="280" w:after="280"/>
        <w:rPr>
          <w:sz w:val="28"/>
          <w:szCs w:val="28"/>
        </w:rPr>
      </w:pPr>
      <w:r>
        <w:rPr>
          <w:sz w:val="28"/>
          <w:szCs w:val="28"/>
        </w:rPr>
        <w:t xml:space="preserve">19. В подраздел «Показатели качества и доступности муниципальной услуги» включается перечень показателей качества и доступности муниципальной услуги, в том числе доступность электронны</w:t>
      </w:r>
      <w:r>
        <w:rPr>
          <w:sz w:val="28"/>
          <w:szCs w:val="28"/>
        </w:rPr>
        <w:t xml:space="preserve">х форм документов, необходимых для предоставления услуги, возможность подачи запроса на получение муниципальной услуги и документов в электронной форме, своевременное предоставление муниципальной услуги (отсутствие нарушений сроков предоставления муниципал</w:t>
      </w:r>
      <w:r>
        <w:rPr>
          <w:sz w:val="28"/>
          <w:szCs w:val="28"/>
        </w:rPr>
        <w:t xml:space="preserve">ьной услуги), доступность инструментов совершения в электронном виде платежей, необходимых для получения муниципальной услуги, удобство информирования заявителя о ходе предоставления муниципальной услуги, а также получения результата предоставления услуги.</w:t>
      </w:r>
      <w:r>
        <w:rPr>
          <w:sz w:val="28"/>
          <w:szCs w:val="28"/>
        </w:rPr>
      </w:r>
    </w:p>
    <w:p>
      <w:pPr>
        <w:pStyle w:val="620"/>
        <w:ind w:firstLine="567"/>
        <w:jc w:val="both"/>
        <w:spacing w:before="280" w:after="280"/>
        <w:rPr>
          <w:sz w:val="28"/>
          <w:szCs w:val="28"/>
        </w:rPr>
      </w:pPr>
      <w:r>
        <w:rPr>
          <w:sz w:val="28"/>
          <w:szCs w:val="28"/>
        </w:rPr>
        <w:t xml:space="preserve">20. В подраздел «Иные требования,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форме» включаются следующие положения:</w:t>
      </w:r>
      <w:r>
        <w:rPr>
          <w:sz w:val="28"/>
          <w:szCs w:val="28"/>
        </w:rPr>
      </w:r>
    </w:p>
    <w:p>
      <w:pPr>
        <w:pStyle w:val="620"/>
        <w:ind w:firstLine="567"/>
        <w:jc w:val="both"/>
        <w:spacing w:before="280" w:after="280"/>
        <w:rPr>
          <w:sz w:val="28"/>
          <w:szCs w:val="28"/>
        </w:rPr>
      </w:pPr>
      <w:r/>
      <w:bookmarkStart w:id="7" w:name="P128"/>
      <w:r/>
      <w:bookmarkEnd w:id="7"/>
      <w:r>
        <w:rPr>
          <w:sz w:val="28"/>
          <w:szCs w:val="28"/>
        </w:rPr>
        <w:t xml:space="preserve">а) перечень услуг, которые являются необходимыми и обязательными для предоставления муниципальной услуги;</w:t>
      </w:r>
      <w:r>
        <w:rPr>
          <w:sz w:val="28"/>
          <w:szCs w:val="28"/>
        </w:rPr>
      </w:r>
    </w:p>
    <w:p>
      <w:pPr>
        <w:pStyle w:val="620"/>
        <w:ind w:firstLine="567"/>
        <w:jc w:val="both"/>
        <w:spacing w:before="280" w:after="280"/>
        <w:rPr>
          <w:sz w:val="28"/>
          <w:szCs w:val="28"/>
        </w:rPr>
      </w:pPr>
      <w:r>
        <w:rPr>
          <w:sz w:val="28"/>
          <w:szCs w:val="28"/>
        </w:rPr>
        <w:t xml:space="preserve">б) размер платы за предоставление, указанных в подпункте «а» настоящего пункта услуг в случаях, когда размер платы установлен законодательством Российской Федерации;</w:t>
      </w:r>
      <w:r>
        <w:rPr>
          <w:sz w:val="28"/>
          <w:szCs w:val="28"/>
        </w:rPr>
      </w:r>
    </w:p>
    <w:p>
      <w:pPr>
        <w:pStyle w:val="620"/>
        <w:ind w:firstLine="567"/>
        <w:jc w:val="both"/>
        <w:spacing w:before="280" w:after="280"/>
        <w:rPr>
          <w:sz w:val="28"/>
          <w:szCs w:val="28"/>
        </w:rPr>
      </w:pPr>
      <w:r>
        <w:rPr>
          <w:sz w:val="28"/>
          <w:szCs w:val="28"/>
        </w:rPr>
        <w:t xml:space="preserve">в) перечень информационных систем, используемых для предоставления муниципальной услуги.</w:t>
      </w:r>
      <w:r>
        <w:rPr>
          <w:sz w:val="28"/>
          <w:szCs w:val="28"/>
        </w:rPr>
      </w:r>
    </w:p>
    <w:p>
      <w:pPr>
        <w:pStyle w:val="620"/>
        <w:ind w:firstLine="567"/>
        <w:jc w:val="both"/>
        <w:spacing w:before="280" w:after="280"/>
        <w:rPr>
          <w:sz w:val="28"/>
          <w:szCs w:val="28"/>
        </w:rPr>
      </w:pPr>
      <w:r>
        <w:rPr>
          <w:sz w:val="28"/>
          <w:szCs w:val="28"/>
        </w:rPr>
        <w:t xml:space="preserve">21. Раздел «Состав, последовательност</w:t>
      </w:r>
      <w:r>
        <w:rPr>
          <w:sz w:val="28"/>
          <w:szCs w:val="28"/>
        </w:rPr>
        <w:t xml:space="preserve">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центрах» (д</w:t>
      </w:r>
      <w:r>
        <w:rPr>
          <w:sz w:val="28"/>
          <w:szCs w:val="28"/>
        </w:rPr>
        <w:t xml:space="preserve">алее состав административных процедур) состоит из подразделов, соответствующих количеству административных процедур - логически обособленных последовательностей административных действий при предоставлении муниципальной услуги, имеющих конечный результат. </w:t>
      </w:r>
      <w:r>
        <w:rPr>
          <w:sz w:val="28"/>
          <w:szCs w:val="28"/>
        </w:rPr>
      </w:r>
    </w:p>
    <w:p>
      <w:pPr>
        <w:pStyle w:val="620"/>
        <w:ind w:firstLine="567"/>
        <w:jc w:val="both"/>
        <w:spacing w:before="280" w:after="280"/>
        <w:rPr>
          <w:sz w:val="28"/>
          <w:szCs w:val="28"/>
        </w:rPr>
      </w:pPr>
      <w:r>
        <w:rPr>
          <w:sz w:val="28"/>
          <w:szCs w:val="28"/>
        </w:rPr>
        <w:t xml:space="preserve">В соответствующем разделе указывается в том числе исчерпываю</w:t>
      </w:r>
      <w:r>
        <w:rPr>
          <w:sz w:val="28"/>
          <w:szCs w:val="28"/>
        </w:rPr>
        <w:t xml:space="preserve">щий перечень административных процедур (действий), содержащихся в нем, описание каждой административной процедуры, содержащее в том числе: основание для начала каждой административной процедуры; содержание каждого административного действия, входящего в со</w:t>
      </w:r>
      <w:r>
        <w:rPr>
          <w:sz w:val="28"/>
          <w:szCs w:val="28"/>
        </w:rPr>
        <w:t xml:space="preserve">став административной процедуры, продолжительность и (или) максимальный срок его выполнения; критерии принятия решений; результат административной процедуры; способ фиксации результата выполнения административной процедуры, в том числе в электронной форме.</w:t>
      </w:r>
      <w:r>
        <w:rPr>
          <w:sz w:val="28"/>
          <w:szCs w:val="28"/>
        </w:rPr>
      </w:r>
    </w:p>
    <w:p>
      <w:pPr>
        <w:pStyle w:val="620"/>
        <w:ind w:firstLine="567"/>
        <w:jc w:val="both"/>
        <w:spacing w:before="280" w:after="280"/>
        <w:rPr>
          <w:sz w:val="28"/>
          <w:szCs w:val="28"/>
        </w:rPr>
      </w:pPr>
      <w:r>
        <w:rPr>
          <w:sz w:val="28"/>
          <w:szCs w:val="28"/>
        </w:rPr>
        <w:t xml:space="preserve">В раздел также включается порядок исправления допущенных опечаток и ошибок в выданных в результате предоставления муниципальной услуги документах</w:t>
      </w:r>
      <w:r>
        <w:rPr>
          <w:sz w:val="28"/>
          <w:szCs w:val="28"/>
        </w:rPr>
      </w:r>
    </w:p>
    <w:p>
      <w:pPr>
        <w:pStyle w:val="620"/>
        <w:ind w:firstLine="567"/>
        <w:jc w:val="both"/>
        <w:spacing w:before="280" w:after="280"/>
        <w:rPr>
          <w:sz w:val="28"/>
          <w:szCs w:val="28"/>
        </w:rPr>
      </w:pPr>
      <w:r>
        <w:rPr>
          <w:sz w:val="28"/>
          <w:szCs w:val="28"/>
        </w:rPr>
        <w:t xml:space="preserve">21.1. В описание административной процедуры приема запроса и документов и (или) информации, необходимых для предоставления муниципальной услуги, включаются в том числе следующие положения:</w:t>
      </w:r>
      <w:r>
        <w:rPr>
          <w:sz w:val="28"/>
          <w:szCs w:val="28"/>
        </w:rPr>
      </w:r>
    </w:p>
    <w:p>
      <w:pPr>
        <w:pStyle w:val="620"/>
        <w:ind w:firstLine="567"/>
        <w:jc w:val="both"/>
        <w:spacing w:before="280" w:after="280"/>
        <w:rPr>
          <w:sz w:val="28"/>
          <w:szCs w:val="28"/>
        </w:rPr>
      </w:pPr>
      <w:r>
        <w:rPr>
          <w:sz w:val="28"/>
          <w:szCs w:val="28"/>
        </w:rPr>
        <w:t xml:space="preserve">а) способы установления личности заявителя (представителя заявителя) для каждого способа подачи запроса и документов и (или) информации, необходимых для предоставления муниципальной услуги;</w:t>
      </w:r>
      <w:r>
        <w:rPr>
          <w:sz w:val="28"/>
          <w:szCs w:val="28"/>
        </w:rPr>
      </w:r>
    </w:p>
    <w:p>
      <w:pPr>
        <w:pStyle w:val="620"/>
        <w:ind w:firstLine="567"/>
        <w:jc w:val="both"/>
        <w:spacing w:before="280" w:after="280"/>
        <w:rPr>
          <w:sz w:val="28"/>
          <w:szCs w:val="28"/>
        </w:rPr>
      </w:pPr>
      <w:r>
        <w:rPr>
          <w:sz w:val="28"/>
          <w:szCs w:val="28"/>
        </w:rPr>
        <w:t xml:space="preserve">б) наличие (отсутствие) возможности подачи запроса представителем заявителя;</w:t>
      </w:r>
      <w:r>
        <w:rPr>
          <w:sz w:val="28"/>
          <w:szCs w:val="28"/>
        </w:rPr>
      </w:r>
    </w:p>
    <w:p>
      <w:pPr>
        <w:pStyle w:val="620"/>
        <w:ind w:firstLine="567"/>
        <w:jc w:val="both"/>
        <w:spacing w:before="280" w:after="280"/>
        <w:rPr>
          <w:sz w:val="28"/>
          <w:szCs w:val="28"/>
        </w:rPr>
      </w:pPr>
      <w:r>
        <w:rPr>
          <w:sz w:val="28"/>
          <w:szCs w:val="28"/>
        </w:rPr>
        <w:t xml:space="preserve">в) основания для принятия решения об отказе в приеме запроса и документов и (или) информации, а в случае отсутствия таких оснований - указание на их отсутствие;</w:t>
      </w:r>
      <w:r>
        <w:rPr>
          <w:sz w:val="28"/>
          <w:szCs w:val="28"/>
        </w:rPr>
      </w:r>
    </w:p>
    <w:p>
      <w:pPr>
        <w:pStyle w:val="620"/>
        <w:ind w:firstLine="567"/>
        <w:jc w:val="both"/>
        <w:spacing w:before="280" w:after="280"/>
        <w:rPr>
          <w:sz w:val="28"/>
          <w:szCs w:val="28"/>
        </w:rPr>
      </w:pPr>
      <w:r>
        <w:rPr>
          <w:sz w:val="28"/>
          <w:szCs w:val="28"/>
        </w:rPr>
        <w:t xml:space="preserve">г) сведения о возможности подачи запроса в многофункциональный центр (при наличии такой возможности).</w:t>
      </w:r>
      <w:r>
        <w:rPr>
          <w:sz w:val="28"/>
          <w:szCs w:val="28"/>
        </w:rPr>
      </w:r>
    </w:p>
    <w:p>
      <w:pPr>
        <w:pStyle w:val="620"/>
        <w:ind w:firstLine="567"/>
        <w:jc w:val="both"/>
        <w:spacing w:before="280" w:after="280"/>
        <w:rPr>
          <w:sz w:val="28"/>
          <w:szCs w:val="28"/>
        </w:rPr>
      </w:pPr>
      <w:r>
        <w:rPr>
          <w:sz w:val="28"/>
          <w:szCs w:val="28"/>
        </w:rPr>
        <w:t xml:space="preserve">21.2. В описание административной процедуры приостановления предоставления муниципальной услуги включаются в том числе следующие положения:</w:t>
      </w:r>
      <w:r>
        <w:rPr>
          <w:sz w:val="28"/>
          <w:szCs w:val="28"/>
        </w:rPr>
      </w:r>
    </w:p>
    <w:p>
      <w:pPr>
        <w:pStyle w:val="620"/>
        <w:ind w:firstLine="567"/>
        <w:jc w:val="both"/>
        <w:spacing w:before="280" w:after="280"/>
        <w:rPr>
          <w:sz w:val="28"/>
          <w:szCs w:val="28"/>
        </w:rPr>
      </w:pPr>
      <w:r>
        <w:rPr>
          <w:sz w:val="28"/>
          <w:szCs w:val="28"/>
        </w:rPr>
        <w:t xml:space="preserve">а) перечень оснований для приостановления предоставления муниципальной услуги, а в случае отсутствия таких оснований - указание на их отсутствие;</w:t>
      </w:r>
      <w:r>
        <w:rPr>
          <w:sz w:val="28"/>
          <w:szCs w:val="28"/>
        </w:rPr>
      </w:r>
    </w:p>
    <w:p>
      <w:pPr>
        <w:pStyle w:val="620"/>
        <w:ind w:firstLine="567"/>
        <w:jc w:val="both"/>
        <w:spacing w:before="280" w:after="280"/>
        <w:rPr>
          <w:sz w:val="28"/>
          <w:szCs w:val="28"/>
        </w:rPr>
      </w:pPr>
      <w:r>
        <w:rPr>
          <w:sz w:val="28"/>
          <w:szCs w:val="28"/>
        </w:rPr>
        <w:t xml:space="preserve">б) состав и содержание осуществляемых при приостановлении предоставления муниципальной услуги административных действий;</w:t>
      </w:r>
      <w:r>
        <w:rPr>
          <w:sz w:val="28"/>
          <w:szCs w:val="28"/>
        </w:rPr>
      </w:r>
    </w:p>
    <w:p>
      <w:pPr>
        <w:pStyle w:val="620"/>
        <w:ind w:firstLine="567"/>
        <w:jc w:val="both"/>
        <w:spacing w:before="280" w:after="280"/>
        <w:rPr>
          <w:sz w:val="28"/>
          <w:szCs w:val="28"/>
        </w:rPr>
      </w:pPr>
      <w:r>
        <w:rPr>
          <w:sz w:val="28"/>
          <w:szCs w:val="28"/>
        </w:rPr>
        <w:t xml:space="preserve">в) перечень оснований для возобновления предоставления муниципальной услуги.</w:t>
      </w:r>
      <w:r>
        <w:rPr>
          <w:sz w:val="28"/>
          <w:szCs w:val="28"/>
        </w:rPr>
      </w:r>
    </w:p>
    <w:p>
      <w:pPr>
        <w:pStyle w:val="620"/>
        <w:ind w:firstLine="567"/>
        <w:jc w:val="both"/>
        <w:spacing w:before="280" w:after="280"/>
        <w:rPr>
          <w:sz w:val="28"/>
          <w:szCs w:val="28"/>
        </w:rPr>
      </w:pPr>
      <w:r>
        <w:rPr>
          <w:sz w:val="28"/>
          <w:szCs w:val="28"/>
        </w:rPr>
        <w:t xml:space="preserve">21.3. В случае если предоставление муниципальной услуги предполагает предоставление муниципальной услуги в упреждающем (проактивном) режиме, в состав подраздела, содержащего описание предоставления муниципальной услуги, включаются следующие положения:</w:t>
      </w:r>
      <w:r>
        <w:rPr>
          <w:sz w:val="28"/>
          <w:szCs w:val="28"/>
        </w:rPr>
      </w:r>
    </w:p>
    <w:p>
      <w:pPr>
        <w:pStyle w:val="620"/>
        <w:ind w:firstLine="567"/>
        <w:jc w:val="both"/>
        <w:spacing w:before="280" w:after="280"/>
        <w:rPr>
          <w:sz w:val="28"/>
          <w:szCs w:val="28"/>
        </w:rPr>
      </w:pPr>
      <w:r>
        <w:rPr>
          <w:sz w:val="28"/>
          <w:szCs w:val="28"/>
        </w:rPr>
        <w:t xml:space="preserve">а) указание на необходимость предварительной подачи заявителем запроса о предоставлении ему данной муниципальной услуги в упреждающем (проактивном) режиме или подачи заявителем запроса о пр</w:t>
      </w:r>
      <w:r>
        <w:rPr>
          <w:sz w:val="28"/>
          <w:szCs w:val="28"/>
        </w:rPr>
        <w:t xml:space="preserve">едоставлении данной муниципальной услуги после осуществления органом, предоставляющим муниципальную услугу, мероприятий в соответствии с пунктом 1 части 1 статьи 7.3 Федерального закона «Об организации предоставления государственных и муниципальных услуг»;</w:t>
      </w:r>
      <w:r>
        <w:rPr>
          <w:sz w:val="28"/>
          <w:szCs w:val="28"/>
        </w:rPr>
      </w:r>
    </w:p>
    <w:p>
      <w:pPr>
        <w:pStyle w:val="620"/>
        <w:ind w:firstLine="567"/>
        <w:jc w:val="both"/>
        <w:spacing w:before="280" w:after="280"/>
        <w:rPr>
          <w:sz w:val="28"/>
          <w:szCs w:val="28"/>
        </w:rPr>
      </w:pPr>
      <w:r/>
      <w:bookmarkStart w:id="8" w:name="P171"/>
      <w:r/>
      <w:bookmarkEnd w:id="8"/>
      <w:r>
        <w:rPr>
          <w:sz w:val="28"/>
          <w:szCs w:val="28"/>
        </w:rPr>
        <w:t xml:space="preserve">б) сведения о юридическом факте, поступление которых в информационную систему органа, предоставляющего муниципальную услугу, является основанием для предоставления заявителю данной муниципальной услуги в упреждающем (проактивном) режиме;</w:t>
      </w:r>
      <w:r>
        <w:rPr>
          <w:sz w:val="28"/>
          <w:szCs w:val="28"/>
        </w:rPr>
      </w:r>
    </w:p>
    <w:p>
      <w:pPr>
        <w:pStyle w:val="620"/>
        <w:ind w:firstLine="567"/>
        <w:jc w:val="both"/>
        <w:spacing w:before="280" w:after="280"/>
        <w:rPr>
          <w:sz w:val="28"/>
          <w:szCs w:val="28"/>
        </w:rPr>
      </w:pPr>
      <w:r>
        <w:rPr>
          <w:sz w:val="28"/>
          <w:szCs w:val="28"/>
        </w:rPr>
        <w:t xml:space="preserve">в) наименование информационной системы, из которой должны поступить сведения, указанные в подпункте «б» настоящего пункта, а также информационной системы органа, предоставляющего муниципальную услугу, в которую должны поступить данные сведения;</w:t>
      </w:r>
      <w:r>
        <w:rPr>
          <w:sz w:val="28"/>
          <w:szCs w:val="28"/>
        </w:rPr>
      </w:r>
    </w:p>
    <w:p>
      <w:pPr>
        <w:pStyle w:val="620"/>
        <w:ind w:firstLine="567"/>
        <w:jc w:val="both"/>
        <w:spacing w:before="280" w:after="280"/>
        <w:rPr>
          <w:sz w:val="28"/>
          <w:szCs w:val="28"/>
        </w:rPr>
      </w:pPr>
      <w:r>
        <w:rPr>
          <w:sz w:val="28"/>
          <w:szCs w:val="28"/>
        </w:rPr>
        <w:t xml:space="preserve">г) состав, последовательность и сроки выполнения административных процедур, осуществляемых органом, предоставляющим муниципальную услугу, после поступления в информационную систему данного органа сведений, указанных в подпункте «б» настоящего пункта.</w:t>
      </w:r>
      <w:r>
        <w:rPr>
          <w:sz w:val="28"/>
          <w:szCs w:val="28"/>
        </w:rPr>
      </w:r>
    </w:p>
    <w:p>
      <w:pPr>
        <w:pStyle w:val="620"/>
        <w:ind w:firstLine="567"/>
        <w:jc w:val="both"/>
        <w:spacing w:before="280" w:after="280"/>
        <w:rPr>
          <w:sz w:val="28"/>
          <w:szCs w:val="28"/>
        </w:rPr>
      </w:pPr>
      <w:r>
        <w:rPr>
          <w:sz w:val="28"/>
          <w:szCs w:val="28"/>
        </w:rPr>
        <w:t xml:space="preserve">21.4. Раздел, касающийся состава, последовательности и сроков выполнения административных процедур (действий), требований к порядку их выполнения, в том </w:t>
      </w:r>
      <w:r>
        <w:rPr>
          <w:sz w:val="28"/>
          <w:szCs w:val="28"/>
        </w:rPr>
        <w:t xml:space="preserve">числе особенностей выполнения административных процедур (действий) в электронной форме, должен содержать в том числе, порядок осуществления в электронной форме административных процедур (действий) в соответствии с положениями статьи 10 Федерального закона.</w:t>
      </w:r>
      <w:r>
        <w:rPr>
          <w:sz w:val="28"/>
          <w:szCs w:val="28"/>
        </w:rPr>
      </w:r>
    </w:p>
    <w:p>
      <w:pPr>
        <w:pStyle w:val="620"/>
        <w:ind w:firstLine="567"/>
        <w:jc w:val="both"/>
        <w:spacing w:before="280" w:after="280"/>
      </w:pPr>
      <w:r>
        <w:rPr>
          <w:sz w:val="28"/>
          <w:szCs w:val="28"/>
        </w:rPr>
        <w:t xml:space="preserve">21.5. В разделе, касающемся особенностей выполнения административных процедур (действий) в многофункциональных центрах предоставления госуд</w:t>
      </w:r>
      <w:r>
        <w:rPr>
          <w:sz w:val="28"/>
          <w:szCs w:val="28"/>
        </w:rPr>
        <w:t xml:space="preserve">арственных и муниципальных услуг, содержится описание административных процедур (действий), выполняемых многофункциональным центром предоставления государственных и муниципальных услуг при предоставлении муниципальной услуги и при предоставлении муниципаль</w:t>
      </w:r>
      <w:r>
        <w:rPr>
          <w:sz w:val="28"/>
          <w:szCs w:val="28"/>
        </w:rPr>
        <w:t xml:space="preserve">ной услуги посредством комплексного запроса (в случае если возможность предоставления муниципальной услуги посредством комплексного запроса предусмотрена муниципальным правовым актом Нечаевского сельсовета Мокшанского района Пензенской области).</w:t>
      </w:r>
      <w:r/>
    </w:p>
    <w:p>
      <w:pPr>
        <w:pStyle w:val="620"/>
        <w:ind w:firstLine="567"/>
        <w:jc w:val="both"/>
        <w:spacing w:before="280" w:after="280"/>
        <w:rPr>
          <w:sz w:val="28"/>
          <w:szCs w:val="28"/>
        </w:rPr>
      </w:pPr>
      <w:r>
        <w:rPr>
          <w:sz w:val="28"/>
          <w:szCs w:val="28"/>
        </w:rPr>
        <w:t xml:space="preserve">Описание административных процедур, осуществляемых в многофункциональном центре, может включаться в состав административных процедур, осуществляемых органами, предоставляющими муниципальные услуги.</w:t>
      </w:r>
      <w:r>
        <w:rPr>
          <w:sz w:val="28"/>
          <w:szCs w:val="28"/>
        </w:rPr>
      </w:r>
    </w:p>
    <w:p>
      <w:pPr>
        <w:pStyle w:val="620"/>
        <w:ind w:firstLine="567"/>
        <w:jc w:val="both"/>
        <w:spacing w:before="280" w:after="280"/>
        <w:rPr>
          <w:sz w:val="28"/>
          <w:szCs w:val="28"/>
        </w:rPr>
      </w:pPr>
      <w:r>
        <w:rPr>
          <w:sz w:val="28"/>
          <w:szCs w:val="28"/>
        </w:rPr>
        <w:t xml:space="preserve"> </w:t>
      </w:r>
      <w:r>
        <w:rPr>
          <w:sz w:val="28"/>
          <w:szCs w:val="28"/>
        </w:rPr>
      </w:r>
    </w:p>
    <w:p>
      <w:pPr>
        <w:pStyle w:val="620"/>
        <w:ind w:firstLine="567"/>
        <w:jc w:val="both"/>
        <w:spacing w:before="280" w:after="28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III. Порядок согласования и утверждения административных регламентов</w:t>
      </w:r>
      <w:r>
        <w:rPr>
          <w:sz w:val="28"/>
          <w:szCs w:val="28"/>
        </w:rPr>
      </w:r>
    </w:p>
    <w:p>
      <w:pPr>
        <w:pStyle w:val="620"/>
        <w:ind w:firstLine="567"/>
        <w:jc w:val="both"/>
        <w:spacing w:before="280" w:after="280"/>
        <w:rPr>
          <w:sz w:val="28"/>
          <w:szCs w:val="28"/>
        </w:rPr>
      </w:pPr>
      <w:r>
        <w:rPr>
          <w:sz w:val="28"/>
          <w:szCs w:val="28"/>
        </w:rPr>
        <w:t xml:space="preserve"> </w:t>
      </w:r>
      <w:r>
        <w:rPr>
          <w:sz w:val="28"/>
          <w:szCs w:val="28"/>
        </w:rPr>
      </w:r>
    </w:p>
    <w:p>
      <w:pPr>
        <w:pStyle w:val="620"/>
        <w:ind w:firstLine="567"/>
        <w:jc w:val="both"/>
        <w:spacing w:before="280" w:after="280"/>
        <w:rPr>
          <w:sz w:val="28"/>
          <w:szCs w:val="28"/>
        </w:rPr>
      </w:pPr>
      <w:r>
        <w:rPr>
          <w:sz w:val="28"/>
          <w:szCs w:val="28"/>
        </w:rPr>
        <w:t xml:space="preserve">22. Проект административного регламента формируется структурным подразделением органа, предоставляющего муниципальную услугу, его уполномоченным лицом (далее – разработчик).</w:t>
      </w:r>
      <w:r>
        <w:rPr>
          <w:sz w:val="28"/>
          <w:szCs w:val="28"/>
        </w:rPr>
      </w:r>
    </w:p>
    <w:p>
      <w:pPr>
        <w:pStyle w:val="620"/>
        <w:ind w:firstLine="567"/>
        <w:jc w:val="both"/>
        <w:spacing w:before="280" w:after="280"/>
        <w:rPr>
          <w:sz w:val="28"/>
          <w:szCs w:val="28"/>
        </w:rPr>
      </w:pPr>
      <w:r>
        <w:rPr>
          <w:sz w:val="28"/>
          <w:szCs w:val="28"/>
        </w:rPr>
        <w:t xml:space="preserve">23. Разработчик обеспечивает согласование проекта административного регламента с заинтересованными лицами, в том числе уполномоченными на проведение экспертизы проекта административного регламента (далее – согласующие лица, экспертиза).</w:t>
      </w:r>
      <w:r>
        <w:rPr>
          <w:sz w:val="28"/>
          <w:szCs w:val="28"/>
        </w:rPr>
      </w:r>
    </w:p>
    <w:p>
      <w:pPr>
        <w:pStyle w:val="620"/>
        <w:ind w:firstLine="567"/>
        <w:jc w:val="both"/>
        <w:spacing w:before="280" w:after="280"/>
      </w:pPr>
      <w:r>
        <w:rPr>
          <w:sz w:val="28"/>
          <w:szCs w:val="28"/>
        </w:rPr>
        <w:t xml:space="preserve">Фамилия, имя, отчество (при наличии), должность должностного лица, участвующего в согласовании, вносятся в лист согласования проекта административного регламента (далее - лист согласования).</w:t>
      </w:r>
      <w:r/>
    </w:p>
    <w:p>
      <w:pPr>
        <w:pStyle w:val="620"/>
        <w:ind w:firstLine="567"/>
        <w:jc w:val="both"/>
        <w:spacing w:before="280" w:after="280"/>
        <w:rPr>
          <w:sz w:val="28"/>
          <w:szCs w:val="28"/>
        </w:rPr>
      </w:pPr>
      <w:r>
        <w:rPr>
          <w:sz w:val="28"/>
          <w:szCs w:val="28"/>
        </w:rPr>
        <w:t xml:space="preserve">24. Проект административного регламента рассматривается согласующими лицами в части, отнесенной к компетенции такого лица, в срок, не превышающий 5 рабочих дней с даты поступления его на согласование от разработчика.</w:t>
      </w:r>
      <w:r>
        <w:rPr>
          <w:sz w:val="28"/>
          <w:szCs w:val="28"/>
        </w:rPr>
      </w:r>
    </w:p>
    <w:p>
      <w:pPr>
        <w:pStyle w:val="620"/>
        <w:ind w:firstLine="567"/>
        <w:jc w:val="both"/>
        <w:spacing w:before="280" w:after="280"/>
        <w:rPr>
          <w:sz w:val="28"/>
          <w:szCs w:val="28"/>
        </w:rPr>
      </w:pPr>
      <w:r>
        <w:rPr>
          <w:sz w:val="28"/>
          <w:szCs w:val="28"/>
        </w:rPr>
        <w:t xml:space="preserve">25. Результатом согласования проекта административного регламента согласующим лицом является проставление подписи или пи</w:t>
      </w:r>
      <w:r>
        <w:rPr>
          <w:sz w:val="28"/>
          <w:szCs w:val="28"/>
        </w:rPr>
        <w:t xml:space="preserve">сьменных замечаний (разногласий) в листе согласования; в части экспертизы проекта административного регламента – письменного заключения о соответствии или не соответствии проекта установленным настоящими правилами требованиям, вносимым в лист согласования.</w:t>
      </w:r>
      <w:r>
        <w:rPr>
          <w:sz w:val="28"/>
          <w:szCs w:val="28"/>
        </w:rPr>
      </w:r>
    </w:p>
    <w:p>
      <w:pPr>
        <w:pStyle w:val="620"/>
        <w:ind w:firstLine="567"/>
        <w:jc w:val="both"/>
        <w:spacing w:before="280" w:after="280"/>
        <w:rPr>
          <w:sz w:val="28"/>
          <w:szCs w:val="28"/>
        </w:rPr>
      </w:pPr>
      <w:r>
        <w:rPr>
          <w:sz w:val="28"/>
          <w:szCs w:val="28"/>
        </w:rPr>
        <w:t xml:space="preserve">26. После рассмотрения проекта административного регламента всеми органами, должностными лицами, участвующими в согласовании, а также поступления заключений по результатам экспертизы</w:t>
      </w:r>
      <w:r>
        <w:rPr>
          <w:sz w:val="28"/>
          <w:szCs w:val="28"/>
        </w:rPr>
        <w:t xml:space="preserve">, независимой антикоррупционной экспертизы, разработчик в день поступления последнего заключения, согласования передает проект административного регламента с заключениями, согласованиями должностному лицу органа, предоставляющего муниципальную услугу, кури</w:t>
      </w:r>
      <w:r>
        <w:rPr>
          <w:sz w:val="28"/>
          <w:szCs w:val="28"/>
        </w:rPr>
        <w:t xml:space="preserve">рующему сферу предоставления муниципальной услуги, для рассмотрения поступивших замечаний, заключений (в случае их наличия) и возможности учета заключений по результатам экспертизы, независимой экспертизы при доработке проекта административного регламента.</w:t>
      </w:r>
      <w:r>
        <w:rPr>
          <w:sz w:val="28"/>
          <w:szCs w:val="28"/>
        </w:rPr>
      </w:r>
    </w:p>
    <w:p>
      <w:pPr>
        <w:pStyle w:val="620"/>
        <w:ind w:firstLine="567"/>
        <w:jc w:val="both"/>
        <w:spacing w:before="280" w:after="280"/>
        <w:rPr>
          <w:sz w:val="28"/>
          <w:szCs w:val="28"/>
        </w:rPr>
      </w:pPr>
      <w:r>
        <w:rPr>
          <w:sz w:val="28"/>
          <w:szCs w:val="28"/>
        </w:rPr>
        <w:t xml:space="preserve">В случае согласия с указанными замечаниями в срок, не превышающий 5 рабочих дней, разработчик внос</w:t>
      </w:r>
      <w:r>
        <w:rPr>
          <w:sz w:val="28"/>
          <w:szCs w:val="28"/>
        </w:rPr>
        <w:t xml:space="preserve">ит изменения в проект административного регламента и направляет его на повторное согласование в сроки и порядке, установленные настоящими правилами, либо направляет проект административного регламента на подпись руководителю органа местного самоуправления.</w:t>
      </w:r>
      <w:r>
        <w:rPr>
          <w:sz w:val="28"/>
          <w:szCs w:val="28"/>
        </w:rPr>
      </w:r>
    </w:p>
    <w:p>
      <w:pPr>
        <w:pStyle w:val="620"/>
        <w:ind w:firstLine="567"/>
        <w:jc w:val="both"/>
        <w:spacing w:before="280" w:after="280"/>
      </w:pPr>
      <w:r>
        <w:rPr>
          <w:sz w:val="28"/>
          <w:szCs w:val="28"/>
        </w:rPr>
        <w:t xml:space="preserve">27. Разработчик административного регламента обеспечивает направление подписанного нормативного муниципального правового акта органа местного самоуправления, утвердившего</w:t>
      </w:r>
      <w:r>
        <w:rPr>
          <w:sz w:val="28"/>
          <w:szCs w:val="28"/>
        </w:rPr>
        <w:t xml:space="preserve"> административный регламент, для его официального опубликования в порядке, установленном Уставом сельского поселения Нечаевский сельсовет муниципального района Мокшанский район Пензенской области, и размещения на официальном сайте в день его подписания.</w:t>
      </w:r>
      <w:r/>
    </w:p>
    <w:p>
      <w:pPr>
        <w:pStyle w:val="620"/>
        <w:ind w:firstLine="567"/>
        <w:jc w:val="both"/>
        <w:spacing w:before="280" w:after="280"/>
        <w:rPr>
          <w:sz w:val="28"/>
          <w:szCs w:val="28"/>
        </w:rPr>
      </w:pPr>
      <w:r/>
      <w:bookmarkStart w:id="9" w:name="P210"/>
      <w:r/>
      <w:bookmarkEnd w:id="9"/>
      <w:r>
        <w:rPr>
          <w:sz w:val="28"/>
          <w:szCs w:val="28"/>
        </w:rPr>
        <w:t xml:space="preserve"> </w:t>
      </w:r>
      <w:r>
        <w:rPr>
          <w:sz w:val="28"/>
          <w:szCs w:val="28"/>
        </w:rPr>
      </w:r>
    </w:p>
    <w:p>
      <w:pPr>
        <w:pStyle w:val="620"/>
        <w:ind w:firstLine="567"/>
        <w:jc w:val="both"/>
        <w:spacing w:before="280" w:after="28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IV. Особенности проведения экспертизы, независимой экспертизы проектов административных регламентов</w:t>
      </w:r>
      <w:r>
        <w:rPr>
          <w:sz w:val="28"/>
          <w:szCs w:val="28"/>
        </w:rPr>
      </w:r>
    </w:p>
    <w:p>
      <w:pPr>
        <w:pStyle w:val="620"/>
        <w:ind w:firstLine="567"/>
        <w:jc w:val="both"/>
        <w:spacing w:before="280" w:after="28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 </w:t>
      </w:r>
      <w:r>
        <w:rPr>
          <w:sz w:val="28"/>
          <w:szCs w:val="28"/>
        </w:rPr>
      </w:r>
    </w:p>
    <w:p>
      <w:pPr>
        <w:pStyle w:val="620"/>
        <w:ind w:firstLine="567"/>
        <w:jc w:val="both"/>
        <w:spacing w:before="280" w:after="280"/>
      </w:pPr>
      <w:r/>
      <w:bookmarkStart w:id="10" w:name="Par0"/>
      <w:r/>
      <w:bookmarkEnd w:id="10"/>
      <w:r>
        <w:rPr>
          <w:sz w:val="28"/>
          <w:szCs w:val="28"/>
        </w:rPr>
        <w:t xml:space="preserve">28. Предметом экспертизы проектов административных регламентов, проводимой уполномоченными органами местного самоуправления, является оценка соответствия проектов административных регламентов т</w:t>
      </w:r>
      <w:r>
        <w:rPr>
          <w:sz w:val="28"/>
          <w:szCs w:val="28"/>
        </w:rPr>
        <w:t xml:space="preserve">ребованиям, предъявляемым к ним Федеральным законом о предоставлении государственных и муниципальных услуг и принятыми в соответствии с ним иными нормативными правовыми актами Российской Федерации, Пензенской области, Нечаевского сельсовета Мокш</w:t>
      </w:r>
      <w:r>
        <w:rPr>
          <w:sz w:val="28"/>
          <w:szCs w:val="28"/>
        </w:rPr>
        <w:t xml:space="preserve">анского района Пензенской области; а также требованиям пунктов 3 и 5 настоящих Правил; отсутствия в проекте требований об обязательном предоставлении заявителями документов и (или) информации, которые могут быть получены в рамках межведомственного запроса.</w:t>
      </w:r>
      <w:r/>
    </w:p>
    <w:p>
      <w:pPr>
        <w:pStyle w:val="620"/>
        <w:ind w:firstLine="567"/>
        <w:jc w:val="both"/>
        <w:spacing w:before="280" w:after="280"/>
      </w:pPr>
      <w:r>
        <w:rPr>
          <w:sz w:val="28"/>
          <w:szCs w:val="28"/>
        </w:rPr>
        <w:t xml:space="preserve">29. Экспертиза проектов административных регламент</w:t>
      </w:r>
      <w:r>
        <w:rPr>
          <w:sz w:val="28"/>
          <w:szCs w:val="28"/>
        </w:rPr>
        <w:t xml:space="preserve">ов проводится муниципальными служащими администрации Нечаевского сельсовета Мокшанского района Пензенской области, уполномоченным лицом иного органа местного самоуправления Нечаевского сельсовета Мокшанского района Пензенской области.</w:t>
      </w:r>
      <w:r/>
    </w:p>
    <w:p>
      <w:pPr>
        <w:pStyle w:val="620"/>
        <w:ind w:firstLine="567"/>
        <w:jc w:val="both"/>
        <w:spacing w:before="280" w:after="280"/>
        <w:rPr>
          <w:sz w:val="28"/>
          <w:szCs w:val="28"/>
        </w:rPr>
      </w:pPr>
      <w:r>
        <w:rPr>
          <w:sz w:val="28"/>
          <w:szCs w:val="28"/>
        </w:rPr>
        <w:t xml:space="preserve">30. По результатам рассмотрения проекта административного регламента на предмет экспертизы в течение 5</w:t>
      </w:r>
      <w:r>
        <w:rPr>
          <w:sz w:val="28"/>
          <w:szCs w:val="28"/>
        </w:rPr>
        <w:t xml:space="preserve"> рабочих дней выше указанными лицами принимается решение о положительном заключении экспертизы на проект административного регламента или отрицательном заключении на проект административного регламента. Указанное заключение включается в лист согласования. </w:t>
      </w:r>
      <w:r>
        <w:rPr>
          <w:sz w:val="28"/>
          <w:szCs w:val="28"/>
        </w:rPr>
      </w:r>
    </w:p>
    <w:p>
      <w:pPr>
        <w:pStyle w:val="620"/>
        <w:ind w:firstLine="567"/>
        <w:jc w:val="both"/>
        <w:spacing w:before="280" w:after="280"/>
      </w:pPr>
      <w:r>
        <w:rPr>
          <w:sz w:val="28"/>
          <w:szCs w:val="28"/>
        </w:rPr>
        <w:t xml:space="preserve">31. Проект</w:t>
      </w:r>
      <w:r>
        <w:rPr>
          <w:sz w:val="28"/>
          <w:szCs w:val="28"/>
        </w:rPr>
        <w:t xml:space="preserve">ы административных регламентов подлежат независимой экспертизе. В целях проведения независимой экспертизы проектов административных регламентов разработчик в течение дня, соответствующего дню направления указанных проектов на согласование лицам, указанным </w:t>
      </w:r>
      <w:r>
        <w:rPr>
          <w:sz w:val="28"/>
          <w:szCs w:val="28"/>
        </w:rPr>
        <w:t xml:space="preserve">в разделе III настоящих правил, обеспечивает размещение этих проектов на официальной странице администрации Нечаевского сельсовета Мокшанского района Пензенской области в информационно-коммуникационной сети «Интернет» (далее – официальный сайт).</w:t>
      </w:r>
      <w:r/>
    </w:p>
    <w:p>
      <w:pPr>
        <w:pStyle w:val="620"/>
        <w:ind w:firstLine="567"/>
        <w:jc w:val="both"/>
        <w:spacing w:before="280" w:after="280"/>
        <w:rPr>
          <w:sz w:val="28"/>
          <w:szCs w:val="28"/>
        </w:rPr>
      </w:pPr>
      <w:r>
        <w:rPr>
          <w:sz w:val="28"/>
          <w:szCs w:val="28"/>
        </w:rPr>
        <w:t xml:space="preserve">32. Предметом независимой экспертизы проекта административного регламента является оценка возможного положительного эффекта, а также возможных негативных последствий реализации положений проекта регламента для граждан и организаций.</w:t>
      </w:r>
      <w:r>
        <w:rPr>
          <w:sz w:val="28"/>
          <w:szCs w:val="28"/>
        </w:rPr>
      </w:r>
    </w:p>
    <w:p>
      <w:pPr>
        <w:pStyle w:val="620"/>
        <w:ind w:firstLine="567"/>
        <w:jc w:val="both"/>
        <w:spacing w:before="280" w:after="280"/>
        <w:rPr>
          <w:sz w:val="28"/>
          <w:szCs w:val="28"/>
        </w:rPr>
      </w:pPr>
      <w:r>
        <w:rPr>
          <w:sz w:val="28"/>
          <w:szCs w:val="28"/>
        </w:rPr>
        <w:t xml:space="preserve">Независимая экспертиза может проводиться физическими и юридическими лицами в инициативном порядке за счет собственных средств. Независима</w:t>
      </w:r>
      <w:r>
        <w:rPr>
          <w:sz w:val="28"/>
          <w:szCs w:val="28"/>
        </w:rPr>
        <w:t xml:space="preserve">я экспертиза не может проводиться физическими и юридическими лицами, принимавшими участие в разработке проекта регламента, а также организациями, находящимися в ведении органа местного самоуправления, являющегося разработчиком административного регламента.</w:t>
      </w:r>
      <w:r>
        <w:rPr>
          <w:sz w:val="28"/>
          <w:szCs w:val="28"/>
        </w:rPr>
      </w:r>
    </w:p>
    <w:p>
      <w:pPr>
        <w:pStyle w:val="620"/>
        <w:ind w:firstLine="567"/>
        <w:jc w:val="both"/>
        <w:spacing w:before="280" w:after="280"/>
      </w:pPr>
      <w:r>
        <w:rPr>
          <w:sz w:val="28"/>
          <w:szCs w:val="28"/>
        </w:rPr>
        <w:t xml:space="preserve">Независимая экспертиза п</w:t>
      </w:r>
      <w:r>
        <w:rPr>
          <w:sz w:val="28"/>
          <w:szCs w:val="28"/>
        </w:rPr>
        <w:t xml:space="preserve">роекта регламента проводится во время его размещения на официальной странице с указанием дат начала и окончания приема заключений по результатам независимой экспертизы, адреса места нахождения органа местного самоуправления, почтового адреса, адреса электр</w:t>
      </w:r>
      <w:r>
        <w:rPr>
          <w:sz w:val="28"/>
          <w:szCs w:val="28"/>
        </w:rPr>
        <w:t xml:space="preserve">онной почты для приема заключений независимой экспертизы. Срок приема заключений по результатам независимой экспертизы не может быть указан менее 7 рабочих и более 30 рабочих дней со дня размещения на официальном сайте проекта административного регламента.</w:t>
      </w:r>
      <w:r/>
    </w:p>
    <w:p>
      <w:pPr>
        <w:pStyle w:val="620"/>
        <w:ind w:firstLine="567"/>
        <w:jc w:val="both"/>
        <w:spacing w:before="280" w:after="280"/>
        <w:rPr>
          <w:sz w:val="28"/>
          <w:szCs w:val="28"/>
        </w:rPr>
      </w:pPr>
      <w:r>
        <w:rPr>
          <w:sz w:val="28"/>
          <w:szCs w:val="28"/>
        </w:rPr>
        <w:t xml:space="preserve">По результатам независимой экспертизы составляется заключение в произвольной форме, которое направляется в орган, являющийся разработчиком регламента почтовым отправлением, доставляется лично, по адресу электронной почты органа местного самоуправления. </w:t>
      </w:r>
      <w:r>
        <w:rPr>
          <w:sz w:val="28"/>
          <w:szCs w:val="28"/>
        </w:rPr>
      </w:r>
    </w:p>
    <w:p>
      <w:pPr>
        <w:pStyle w:val="620"/>
        <w:ind w:firstLine="567"/>
        <w:jc w:val="both"/>
        <w:spacing w:before="280" w:after="280"/>
        <w:rPr>
          <w:sz w:val="28"/>
          <w:szCs w:val="28"/>
        </w:rPr>
      </w:pPr>
      <w:r>
        <w:rPr>
          <w:sz w:val="28"/>
          <w:szCs w:val="28"/>
        </w:rPr>
        <w:t xml:space="preserve">Орган, являющийся</w:t>
      </w:r>
      <w:r>
        <w:rPr>
          <w:sz w:val="28"/>
          <w:szCs w:val="28"/>
        </w:rPr>
        <w:t xml:space="preserve"> разработчиком регламента, обязан рассмотреть поступившие заключения и принять решение по результатам каждой независимой экспертизы в течение 5 рабочих дней со дня его поступления в орган местного самоуправления. Заключение носит рекомендательный характер.</w:t>
      </w:r>
      <w:r>
        <w:rPr>
          <w:sz w:val="28"/>
          <w:szCs w:val="28"/>
        </w:rPr>
      </w:r>
    </w:p>
    <w:p>
      <w:pPr>
        <w:pStyle w:val="620"/>
        <w:ind w:firstLine="567"/>
        <w:jc w:val="both"/>
        <w:spacing w:before="280" w:after="280"/>
        <w:rPr>
          <w:sz w:val="28"/>
          <w:szCs w:val="28"/>
        </w:rPr>
      </w:pPr>
      <w:r>
        <w:rPr>
          <w:sz w:val="28"/>
          <w:szCs w:val="28"/>
        </w:rPr>
        <w:t xml:space="preserve">33. Не</w:t>
      </w:r>
      <w:r>
        <w:rPr>
          <w:sz w:val="28"/>
          <w:szCs w:val="28"/>
        </w:rPr>
        <w:t xml:space="preserve">поступление заключения независимой экспертизы в орган, являющийся разработчиком регламента, в срок, отведенный для проведения независимой экспертизы, не является препятствием для проведения экспертизы и принятия решений в соответствии с настоящим разделом.</w:t>
      </w:r>
      <w:r>
        <w:rPr>
          <w:sz w:val="28"/>
          <w:szCs w:val="28"/>
        </w:rPr>
      </w:r>
    </w:p>
    <w:p>
      <w:pPr>
        <w:pStyle w:val="6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sectPr>
      <w:footnotePr/>
      <w:endnotePr/>
      <w:type w:val="nextPage"/>
      <w:pgSz w:w="11906" w:h="16838" w:orient="portrait"/>
      <w:pgMar w:top="1134" w:right="907" w:bottom="720" w:left="1474" w:header="0" w:footer="0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506030602030204"/>
  </w:font>
  <w:font w:name="Symbol">
    <w:panose1 w:val="05010000000000000000"/>
  </w:font>
  <w:font w:name="Wingdings">
    <w:panose1 w:val="05010000000000000000"/>
  </w:font>
  <w:font w:name="Courier New">
    <w:panose1 w:val="02070409020205020404"/>
  </w:font>
  <w:font w:name="Arial">
    <w:panose1 w:val="020B0604020202020204"/>
  </w:font>
  <w:font w:name="DejaVu Sans">
    <w:panose1 w:val="020B0603030804020204"/>
  </w:font>
  <w:font w:name="Wingdings 2">
    <w:panose1 w:val="05040102010807070707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none"/>
      <w:pStyle w:val="621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none"/>
      <w:pStyle w:val="622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none"/>
      <w:pStyle w:val="623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none"/>
      <w:pStyle w:val="624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none"/>
      <w:pStyle w:val="625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abstractNum w:abstractNumId="1">
    <w:multiLevelType w:val="hybridMultilevel"/>
    <w:lvl w:ilvl="0">
      <w:start w:val="1"/>
      <w:numFmt w:val="upperRoman"/>
      <w:pStyle w:val="647"/>
      <w:isLgl w:val="false"/>
      <w:suff w:val="tab"/>
      <w:lvlText w:val="%1."/>
      <w:lvlJc w:val="right"/>
      <w:pPr>
        <w:ind w:left="1315" w:hanging="180"/>
        <w:tabs>
          <w:tab w:val="num" w:pos="1315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="DejaVu Sans" w:cs="DejaVu Sans"/>
        <w:sz w:val="24"/>
        <w:szCs w:val="24"/>
        <w:lang w:val="en-US" w:eastAsia="zh-CN" w:bidi="hi-IN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11"/>
    <w:link w:val="621"/>
    <w:uiPriority w:val="9"/>
    <w:rPr>
      <w:rFonts w:ascii="Arial" w:hAnsi="Arial" w:eastAsia="Arial" w:cs="Arial"/>
      <w:sz w:val="40"/>
      <w:szCs w:val="40"/>
    </w:rPr>
  </w:style>
  <w:style w:type="character" w:styleId="16">
    <w:name w:val="Heading 2 Char"/>
    <w:basedOn w:val="11"/>
    <w:link w:val="622"/>
    <w:uiPriority w:val="9"/>
    <w:rPr>
      <w:rFonts w:ascii="Arial" w:hAnsi="Arial" w:eastAsia="Arial" w:cs="Arial"/>
      <w:sz w:val="34"/>
    </w:rPr>
  </w:style>
  <w:style w:type="character" w:styleId="18">
    <w:name w:val="Heading 3 Char"/>
    <w:basedOn w:val="11"/>
    <w:link w:val="623"/>
    <w:uiPriority w:val="9"/>
    <w:rPr>
      <w:rFonts w:ascii="Arial" w:hAnsi="Arial" w:eastAsia="Arial" w:cs="Arial"/>
      <w:sz w:val="30"/>
      <w:szCs w:val="30"/>
    </w:rPr>
  </w:style>
  <w:style w:type="character" w:styleId="20">
    <w:name w:val="Heading 4 Char"/>
    <w:basedOn w:val="11"/>
    <w:link w:val="624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20"/>
    <w:next w:val="620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rPr>
      <w:rFonts w:ascii="Arial" w:hAnsi="Arial" w:eastAsia="Arial" w:cs="Arial"/>
      <w:b/>
      <w:bCs/>
      <w:sz w:val="24"/>
      <w:szCs w:val="24"/>
    </w:rPr>
  </w:style>
  <w:style w:type="character" w:styleId="24">
    <w:name w:val="Heading 6 Char"/>
    <w:basedOn w:val="11"/>
    <w:link w:val="625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20"/>
    <w:next w:val="620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20"/>
    <w:next w:val="620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20"/>
    <w:next w:val="620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20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20"/>
    <w:next w:val="620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11"/>
    <w:link w:val="34"/>
    <w:uiPriority w:val="10"/>
    <w:rPr>
      <w:sz w:val="48"/>
      <w:szCs w:val="48"/>
    </w:rPr>
  </w:style>
  <w:style w:type="paragraph" w:styleId="36">
    <w:name w:val="Subtitle"/>
    <w:basedOn w:val="620"/>
    <w:next w:val="620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11"/>
    <w:link w:val="36"/>
    <w:uiPriority w:val="11"/>
    <w:rPr>
      <w:sz w:val="24"/>
      <w:szCs w:val="24"/>
    </w:rPr>
  </w:style>
  <w:style w:type="paragraph" w:styleId="38">
    <w:name w:val="Quote"/>
    <w:basedOn w:val="620"/>
    <w:next w:val="620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20"/>
    <w:next w:val="620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character" w:styleId="43">
    <w:name w:val="Header Char"/>
    <w:basedOn w:val="11"/>
    <w:link w:val="646"/>
    <w:uiPriority w:val="99"/>
  </w:style>
  <w:style w:type="paragraph" w:styleId="44">
    <w:name w:val="Footer"/>
    <w:basedOn w:val="620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11"/>
    <w:link w:val="44"/>
    <w:uiPriority w:val="99"/>
  </w:style>
  <w:style w:type="character" w:styleId="47">
    <w:name w:val="Caption Char"/>
    <w:basedOn w:val="640"/>
    <w:link w:val="44"/>
    <w:uiPriority w:val="99"/>
  </w:style>
  <w:style w:type="table" w:styleId="48">
    <w:name w:val="Table Grid"/>
    <w:basedOn w:val="3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5">
    <w:name w:val="footnote text"/>
    <w:basedOn w:val="620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11"/>
    <w:uiPriority w:val="99"/>
    <w:unhideWhenUsed/>
    <w:rPr>
      <w:vertAlign w:val="superscript"/>
    </w:rPr>
  </w:style>
  <w:style w:type="paragraph" w:styleId="178">
    <w:name w:val="endnote text"/>
    <w:basedOn w:val="620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11"/>
    <w:uiPriority w:val="99"/>
    <w:semiHidden/>
    <w:unhideWhenUsed/>
    <w:rPr>
      <w:vertAlign w:val="superscript"/>
    </w:rPr>
  </w:style>
  <w:style w:type="paragraph" w:styleId="181">
    <w:name w:val="toc 1"/>
    <w:basedOn w:val="620"/>
    <w:next w:val="620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20"/>
    <w:next w:val="620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20"/>
    <w:next w:val="620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20"/>
    <w:next w:val="620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20"/>
    <w:next w:val="620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20"/>
    <w:next w:val="620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20"/>
    <w:next w:val="620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20"/>
    <w:next w:val="620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20"/>
    <w:next w:val="620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20"/>
    <w:next w:val="620"/>
    <w:uiPriority w:val="99"/>
    <w:unhideWhenUsed/>
    <w:pPr>
      <w:spacing w:after="0" w:afterAutospacing="0"/>
    </w:pPr>
  </w:style>
  <w:style w:type="paragraph" w:styleId="620" w:default="1">
    <w:name w:val="Normal"/>
    <w:qFormat/>
    <w:pPr>
      <w:widowControl w:val="off"/>
    </w:pPr>
    <w:rPr>
      <w:rFonts w:ascii="Times New Roman" w:hAnsi="Times New Roman" w:eastAsia="Times New Roman" w:cs="Times New Roman"/>
      <w:color w:val="auto"/>
      <w:sz w:val="20"/>
      <w:szCs w:val="20"/>
      <w:lang w:val="ru-RU" w:eastAsia="zh-CN" w:bidi="ar-SA"/>
    </w:rPr>
  </w:style>
  <w:style w:type="paragraph" w:styleId="621">
    <w:name w:val="Heading 1"/>
    <w:basedOn w:val="620"/>
    <w:next w:val="620"/>
    <w:qFormat/>
    <w:pPr>
      <w:numPr>
        <w:ilvl w:val="0"/>
        <w:numId w:val="1"/>
      </w:numPr>
      <w:jc w:val="center"/>
      <w:keepNext/>
      <w:outlineLvl w:val="0"/>
    </w:pPr>
    <w:rPr>
      <w:b/>
      <w:bCs/>
      <w:sz w:val="32"/>
      <w:szCs w:val="32"/>
    </w:rPr>
  </w:style>
  <w:style w:type="paragraph" w:styleId="622">
    <w:name w:val="Heading 2"/>
    <w:basedOn w:val="620"/>
    <w:next w:val="620"/>
    <w:qFormat/>
    <w:pPr>
      <w:numPr>
        <w:ilvl w:val="1"/>
        <w:numId w:val="1"/>
      </w:numPr>
      <w:jc w:val="center"/>
      <w:keepNext/>
      <w:outlineLvl w:val="1"/>
    </w:pPr>
    <w:rPr>
      <w:b/>
      <w:bCs/>
      <w:sz w:val="36"/>
      <w:szCs w:val="36"/>
    </w:rPr>
  </w:style>
  <w:style w:type="paragraph" w:styleId="623">
    <w:name w:val="Heading 3"/>
    <w:basedOn w:val="620"/>
    <w:next w:val="620"/>
    <w:qFormat/>
    <w:pPr>
      <w:numPr>
        <w:ilvl w:val="2"/>
        <w:numId w:val="1"/>
      </w:numPr>
      <w:keepNext/>
      <w:outlineLvl w:val="2"/>
    </w:pPr>
    <w:rPr>
      <w:b/>
      <w:bCs/>
      <w:sz w:val="28"/>
      <w:szCs w:val="28"/>
    </w:rPr>
  </w:style>
  <w:style w:type="paragraph" w:styleId="624">
    <w:name w:val="Heading 4"/>
    <w:basedOn w:val="620"/>
    <w:next w:val="620"/>
    <w:qFormat/>
    <w:pPr>
      <w:numPr>
        <w:ilvl w:val="3"/>
        <w:numId w:val="1"/>
      </w:numPr>
      <w:jc w:val="both"/>
      <w:keepNext/>
      <w:outlineLvl w:val="3"/>
    </w:pPr>
    <w:rPr>
      <w:sz w:val="28"/>
      <w:szCs w:val="28"/>
    </w:rPr>
  </w:style>
  <w:style w:type="paragraph" w:styleId="625">
    <w:name w:val="Heading 6"/>
    <w:basedOn w:val="620"/>
    <w:next w:val="620"/>
    <w:qFormat/>
    <w:pPr>
      <w:numPr>
        <w:ilvl w:val="5"/>
        <w:numId w:val="1"/>
      </w:numPr>
      <w:spacing w:before="240" w:after="60"/>
      <w:widowControl/>
      <w:outlineLvl w:val="5"/>
    </w:pPr>
    <w:rPr>
      <w:b/>
      <w:bCs/>
      <w:i/>
      <w:sz w:val="22"/>
      <w:szCs w:val="22"/>
      <w:lang w:val="en-GB"/>
    </w:rPr>
  </w:style>
  <w:style w:type="character" w:styleId="626">
    <w:name w:val="WW8Num1z0"/>
    <w:qFormat/>
  </w:style>
  <w:style w:type="character" w:styleId="627">
    <w:name w:val="WW8Num2z0"/>
    <w:qFormat/>
    <w:rPr>
      <w:rFonts w:ascii="Times New Roman" w:hAnsi="Times New Roman" w:cs="Times New Roman"/>
    </w:rPr>
  </w:style>
  <w:style w:type="character" w:styleId="628">
    <w:name w:val="WW8Num3z0"/>
    <w:qFormat/>
    <w:rPr>
      <w:rFonts w:ascii="Wingdings 2" w:hAnsi="Wingdings 2" w:cs="Wingdings 2"/>
      <w:b w:val="0"/>
      <w:i w:val="0"/>
    </w:rPr>
  </w:style>
  <w:style w:type="character" w:styleId="629">
    <w:name w:val="WW8Num3z1"/>
    <w:qFormat/>
    <w:rPr>
      <w:rFonts w:ascii="Courier New" w:hAnsi="Courier New" w:cs="Courier New"/>
    </w:rPr>
  </w:style>
  <w:style w:type="character" w:styleId="630">
    <w:name w:val="WW8Num3z2"/>
    <w:qFormat/>
    <w:rPr>
      <w:rFonts w:ascii="Wingdings" w:hAnsi="Wingdings" w:cs="Wingdings"/>
    </w:rPr>
  </w:style>
  <w:style w:type="character" w:styleId="631">
    <w:name w:val="WW8Num3z3"/>
    <w:qFormat/>
    <w:rPr>
      <w:rFonts w:ascii="Symbol" w:hAnsi="Symbol" w:cs="Symbol"/>
    </w:rPr>
  </w:style>
  <w:style w:type="character" w:styleId="632">
    <w:name w:val="WW8Num5z0"/>
    <w:qFormat/>
  </w:style>
  <w:style w:type="character" w:styleId="633">
    <w:name w:val="Основной шрифт абзаца"/>
    <w:qFormat/>
    <w:rPr>
      <w:b/>
      <w:i/>
      <w:sz w:val="28"/>
      <w:lang w:val="en-GB" w:bidi="ar-SA"/>
    </w:rPr>
  </w:style>
  <w:style w:type="character" w:styleId="634">
    <w:name w:val="Заголовок 6 Знак"/>
    <w:qFormat/>
    <w:rPr>
      <w:b/>
      <w:bCs/>
      <w:i/>
      <w:sz w:val="22"/>
      <w:szCs w:val="22"/>
      <w:lang w:val="en-GB" w:bidi="ar-SA"/>
    </w:rPr>
  </w:style>
  <w:style w:type="character" w:styleId="635">
    <w:name w:val="Hyperlink"/>
    <w:rPr>
      <w:b/>
      <w:i/>
      <w:color w:val="0000ff"/>
      <w:sz w:val="28"/>
      <w:u w:val="single"/>
      <w:lang w:val="en-GB" w:bidi="ar-SA"/>
    </w:rPr>
  </w:style>
  <w:style w:type="character" w:styleId="636">
    <w:name w:val="Hyperlink"/>
    <w:basedOn w:val="633"/>
    <w:qFormat/>
  </w:style>
  <w:style w:type="paragraph" w:styleId="637">
    <w:name w:val="Heading"/>
    <w:basedOn w:val="620"/>
    <w:next w:val="638"/>
    <w:qFormat/>
    <w:pPr>
      <w:keepNext/>
      <w:spacing w:before="240" w:after="120"/>
    </w:pPr>
    <w:rPr>
      <w:rFonts w:ascii="Arial" w:hAnsi="Arial" w:eastAsia="DejaVu Sans" w:cs="DejaVu Sans"/>
      <w:sz w:val="28"/>
      <w:szCs w:val="28"/>
    </w:rPr>
  </w:style>
  <w:style w:type="paragraph" w:styleId="638">
    <w:name w:val="Body Text"/>
    <w:basedOn w:val="620"/>
    <w:pPr>
      <w:spacing w:before="0" w:after="120"/>
    </w:pPr>
  </w:style>
  <w:style w:type="paragraph" w:styleId="639">
    <w:name w:val="List"/>
    <w:basedOn w:val="638"/>
  </w:style>
  <w:style w:type="paragraph" w:styleId="640">
    <w:name w:val="Caption"/>
    <w:basedOn w:val="620"/>
    <w:qFormat/>
    <w:pPr>
      <w:spacing w:before="120" w:after="120"/>
      <w:suppressLineNumbers/>
    </w:pPr>
    <w:rPr>
      <w:i/>
      <w:iCs/>
      <w:sz w:val="24"/>
      <w:szCs w:val="24"/>
    </w:rPr>
  </w:style>
  <w:style w:type="paragraph" w:styleId="641">
    <w:name w:val="Index"/>
    <w:basedOn w:val="620"/>
    <w:qFormat/>
    <w:pPr>
      <w:suppressLineNumbers/>
    </w:pPr>
  </w:style>
  <w:style w:type="paragraph" w:styleId="642">
    <w:name w:val="Основной текст 2"/>
    <w:basedOn w:val="620"/>
    <w:qFormat/>
    <w:pPr>
      <w:ind w:firstLine="720"/>
    </w:pPr>
    <w:rPr>
      <w:sz w:val="28"/>
      <w:szCs w:val="28"/>
    </w:rPr>
  </w:style>
  <w:style w:type="paragraph" w:styleId="643">
    <w:name w:val="Основной текст с отступом 2"/>
    <w:basedOn w:val="620"/>
    <w:qFormat/>
    <w:pPr>
      <w:ind w:firstLine="720"/>
      <w:jc w:val="both"/>
    </w:pPr>
    <w:rPr>
      <w:sz w:val="28"/>
      <w:szCs w:val="28"/>
    </w:rPr>
  </w:style>
  <w:style w:type="paragraph" w:styleId="644">
    <w:name w:val="Текст выноски"/>
    <w:basedOn w:val="620"/>
    <w:qFormat/>
    <w:rPr>
      <w:rFonts w:ascii="Tahoma" w:hAnsi="Tahoma" w:cs="Tahoma"/>
      <w:sz w:val="16"/>
      <w:szCs w:val="16"/>
    </w:rPr>
  </w:style>
  <w:style w:type="paragraph" w:styleId="645">
    <w:name w:val="Header and Footer"/>
    <w:basedOn w:val="620"/>
    <w:qFormat/>
    <w:pPr>
      <w:tabs>
        <w:tab w:val="clear" w:pos="708" w:leader="none"/>
        <w:tab w:val="center" w:pos="4819" w:leader="none"/>
        <w:tab w:val="right" w:pos="9638" w:leader="none"/>
      </w:tabs>
      <w:suppressLineNumbers/>
    </w:pPr>
  </w:style>
  <w:style w:type="paragraph" w:styleId="646">
    <w:name w:val="Header"/>
    <w:basedOn w:val="620"/>
    <w:pPr>
      <w:tabs>
        <w:tab w:val="clear" w:pos="708" w:leader="none"/>
        <w:tab w:val="center" w:pos="4153" w:leader="none"/>
        <w:tab w:val="right" w:pos="8306" w:leader="none"/>
      </w:tabs>
    </w:pPr>
  </w:style>
  <w:style w:type="paragraph" w:styleId="647">
    <w:name w:val="Знак Знак Знак1 Знак Знак Знак Знак"/>
    <w:basedOn w:val="620"/>
    <w:qFormat/>
    <w:pPr>
      <w:numPr>
        <w:ilvl w:val="0"/>
        <w:numId w:val="2"/>
      </w:numPr>
      <w:jc w:val="center"/>
      <w:spacing w:before="0" w:after="160" w:line="240" w:lineRule="exact"/>
    </w:pPr>
    <w:rPr>
      <w:b/>
      <w:i/>
      <w:sz w:val="28"/>
      <w:lang w:val="en-GB"/>
    </w:rPr>
  </w:style>
  <w:style w:type="paragraph" w:styleId="648">
    <w:name w:val="Обычный (веб)"/>
    <w:basedOn w:val="620"/>
    <w:qFormat/>
    <w:pPr>
      <w:spacing w:before="280" w:after="280"/>
      <w:widowControl/>
    </w:pPr>
    <w:rPr>
      <w:sz w:val="24"/>
      <w:szCs w:val="24"/>
    </w:rPr>
  </w:style>
  <w:style w:type="paragraph" w:styleId="649">
    <w:name w:val="Frame Contents"/>
    <w:basedOn w:val="620"/>
    <w:qFormat/>
  </w:style>
  <w:style w:type="paragraph" w:styleId="650">
    <w:name w:val="Table Contents"/>
    <w:basedOn w:val="620"/>
    <w:qFormat/>
    <w:pPr>
      <w:widowControl w:val="off"/>
      <w:suppressLineNumbers/>
    </w:pPr>
  </w:style>
  <w:style w:type="paragraph" w:styleId="651">
    <w:name w:val="Table Heading"/>
    <w:basedOn w:val="650"/>
    <w:qFormat/>
    <w:pPr>
      <w:jc w:val="center"/>
      <w:suppressLineNumbers/>
    </w:pPr>
    <w:rPr>
      <w:b/>
      <w:bCs/>
    </w:rPr>
  </w:style>
  <w:style w:type="numbering" w:styleId="652">
    <w:name w:val="WW8Num1"/>
    <w:qFormat/>
  </w:style>
  <w:style w:type="numbering" w:styleId="653">
    <w:name w:val="WW8Num2"/>
    <w:qFormat/>
  </w:style>
  <w:style w:type="numbering" w:styleId="654">
    <w:name w:val="WW8Num3"/>
    <w:qFormat/>
  </w:style>
  <w:style w:type="numbering" w:styleId="655">
    <w:name w:val="WW8Num4"/>
    <w:qFormat/>
  </w:style>
  <w:style w:type="numbering" w:styleId="656">
    <w:name w:val="WW8Num5"/>
    <w:qFormat/>
  </w:style>
  <w:style w:type="character" w:styleId="1508" w:default="1">
    <w:name w:val="Default Paragraph Font"/>
    <w:uiPriority w:val="1"/>
    <w:semiHidden/>
    <w:unhideWhenUsed/>
  </w:style>
  <w:style w:type="numbering" w:styleId="1509" w:default="1">
    <w:name w:val="No List"/>
    <w:uiPriority w:val="99"/>
    <w:semiHidden/>
    <w:unhideWhenUsed/>
  </w:style>
  <w:style w:type="table" w:styleId="1510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R7-Office/2024.1.1.375</Application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test</dc:creator>
  <cp:keywords/>
  <dc:description/>
  <dc:language>en-US</dc:language>
  <cp:lastModifiedBy>Светлана Гурина</cp:lastModifiedBy>
  <cp:revision>5</cp:revision>
  <dcterms:created xsi:type="dcterms:W3CDTF">2025-04-01T16:11:00Z</dcterms:created>
  <dcterms:modified xsi:type="dcterms:W3CDTF">2025-04-05T15:16:52Z</dcterms:modified>
</cp:coreProperties>
</file>