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АДМИНИСТРАЦИЯ НЕЧАЕВСКОГО СЕЛЬСОВЕТА МОКШАНСКОГО РАЙОНА ПЕНЗЕНСКОЙ ОБЛАСТИ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center"/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ПОСТАНОВЛЕНИЕ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center"/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От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_____________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 №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__________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jc w:val="center"/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с. Нечаевка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center"/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center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Об утверждении Административного регламента по предоставлению муниципальной услуги «Выдача разрешений на захоронение и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подзахоронение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на гражданских кладбищах муниципального образования»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 соответствии с Федеральным законом </w:t>
      </w:r>
      <w:hyperlink r:id="rId10" w:tooltip="https://pravo-search.minjust.ru/bigs/showDocument.html?id=BBA0BFB1-06C7-4E50-A8D3-FE1045784BF1" w:history="1">
        <w:r>
          <w:rPr>
            <w:rFonts w:ascii="Times New Roman" w:hAnsi="Times New Roman" w:eastAsia="Times New Roman" w:cs="Times New Roman"/>
            <w:color w:val="0000ff"/>
            <w:sz w:val="24"/>
            <w:szCs w:val="24"/>
            <w:u w:val="single"/>
            <w:lang w:eastAsia="ru-RU"/>
          </w:rPr>
          <w:t xml:space="preserve">от 27.07.2010 года № 210-ФЗ</w:t>
        </w:r>
      </w:hyperlink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«Об организации предоставления государственных и муниципальных услуг», Федеральным законом </w:t>
      </w:r>
      <w:hyperlink r:id="rId11" w:tooltip="https://pravo-search.minjust.ru/bigs/showDocument.html?id=96E20C02-1B12-465A-B64C-24AA92270007" w:history="1">
        <w:r>
          <w:rPr>
            <w:rFonts w:ascii="Times New Roman" w:hAnsi="Times New Roman" w:eastAsia="Times New Roman" w:cs="Times New Roman"/>
            <w:color w:val="0000ff"/>
            <w:sz w:val="24"/>
            <w:szCs w:val="24"/>
            <w:u w:val="single"/>
            <w:lang w:eastAsia="ru-RU"/>
          </w:rPr>
          <w:t xml:space="preserve">от 06.10.2003 года № 131-ФЗ</w:t>
        </w:r>
      </w:hyperlink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«Об общих принципах организации местного самоуправления в Российской Федерации»,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руководствуясь постановлениями администрации Нечаевского сельсовета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Мокшанского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12" w:tooltip="https://pravo-search.minjust.ru/bigs/showDocument.html?id=1F171CB8-9CBD-4F99-B0D1-43240DFFD2BD" w:history="1">
        <w:r>
          <w:rPr>
            <w:rStyle w:val="638"/>
            <w:rFonts w:ascii="Times New Roman" w:hAnsi="Times New Roman" w:cs="Times New Roman"/>
            <w:color w:val="0000ff"/>
            <w:sz w:val="24"/>
            <w:szCs w:val="24"/>
          </w:rPr>
          <w:t xml:space="preserve">от</w:t>
        </w:r>
        <w:r>
          <w:rPr>
            <w:rStyle w:val="638"/>
            <w:rFonts w:ascii="Times New Roman" w:hAnsi="Times New Roman" w:cs="Times New Roman"/>
            <w:color w:val="0000ff"/>
            <w:sz w:val="24"/>
            <w:szCs w:val="24"/>
          </w:rPr>
          <w:t xml:space="preserve"> 15.04.2025</w:t>
        </w:r>
        <w:r>
          <w:t xml:space="preserve"> </w:t>
        </w:r>
        <w:r>
          <w:rPr>
            <w:rStyle w:val="638"/>
            <w:rFonts w:ascii="Times New Roman" w:hAnsi="Times New Roman" w:cs="Times New Roman"/>
            <w:color w:val="0000ff"/>
            <w:sz w:val="24"/>
            <w:szCs w:val="24"/>
          </w:rPr>
          <w:t xml:space="preserve">№ 31 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«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утверждении правил разработки и утверждения административных регламентов предоставления муниципальных услуг органами местного самоуправления Нечаевского сельсовета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Мокшанского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области», </w:t>
      </w:r>
      <w:hyperlink r:id="rId13" w:tooltip="https://pravo-search.minjust.ru/bigs/showDocument.html?id=E5D88D00-2FD9-4197-9A50-E65C38D10E36" w:history="1">
        <w:r>
          <w:rPr>
            <w:rStyle w:val="638"/>
            <w:rFonts w:ascii="Times New Roman" w:hAnsi="Times New Roman" w:cs="Times New Roman"/>
            <w:color w:val="0000ff"/>
            <w:sz w:val="24"/>
            <w:szCs w:val="24"/>
          </w:rPr>
          <w:t xml:space="preserve">от _____________ №__________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 «Об утверждении Реестра муниципальных услуг Нечаевского сельсовета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Мокшанского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области», </w:t>
      </w:r>
      <w:hyperlink r:id="rId14" w:tooltip="https://pravo-search.minjust.ru/bigs/showDocument.html?id=8FCB0ECE-7D45-4346-99CF-1DD7654B2F00" w:history="1">
        <w:r>
          <w:rPr>
            <w:rStyle w:val="638"/>
            <w:rFonts w:ascii="Times New Roman" w:hAnsi="Times New Roman" w:cs="Times New Roman"/>
            <w:color w:val="0000ff"/>
            <w:sz w:val="24"/>
            <w:szCs w:val="24"/>
          </w:rPr>
          <w:t xml:space="preserve">Уставом сельского поселения Нечаевский сельсовет муниципального района </w:t>
        </w:r>
        <w:r>
          <w:rPr>
            <w:rStyle w:val="638"/>
            <w:rFonts w:ascii="Times New Roman" w:hAnsi="Times New Roman" w:cs="Times New Roman"/>
            <w:color w:val="0000ff"/>
            <w:sz w:val="24"/>
            <w:szCs w:val="24"/>
          </w:rPr>
          <w:t xml:space="preserve">Мокшанский</w:t>
        </w:r>
        <w:r>
          <w:rPr>
            <w:rStyle w:val="638"/>
            <w:rFonts w:ascii="Times New Roman" w:hAnsi="Times New Roman" w:cs="Times New Roman"/>
            <w:color w:val="0000ff"/>
            <w:sz w:val="24"/>
            <w:szCs w:val="24"/>
          </w:rPr>
          <w:t xml:space="preserve"> район Пензенской области</w:t>
        </w:r>
      </w:hyperlink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Администрация Нечаевского сельсовета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Мокшанского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постановляет: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Утвердить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прилагаемый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административный регламент по предоставлению муниципальной услуги «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Выдача разрешений на захоронение (перезахоронение) 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подзахоронение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на гражданских кладбищах муниципального образования (выдача разрешений на захоронение 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подзахоронение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на гражданских кладбищах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муниципального образования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».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3.Опубликовать настоящее постановление в информационном бюллетене «Вести Нечаевского сельсовета» и на официально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й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странице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администрации Нечаевского сельсовета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Мокшанского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района Пензенской области в информационно-телекоммуникационной сети «Интернет».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4.Настоящее постановление вступает в силу на следующий день после дня его официального опубликования.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5.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Контроль за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Нечаевского сельсовета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Мокшанского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района Пензенской области.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И.о. главы администрации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Нечаевского сельсовета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Мокшанского района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Пензенской области                                                                          И.Н. Агафонов </w:t>
      </w:r>
      <w:r/>
      <w:r/>
    </w:p>
    <w:p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Приложение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УТВЕРЖДЕН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постановлением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администрации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Нечаевского сельсовета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Мокшанского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района Пензенской области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т_________________ № _____________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center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Административный регламент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center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по предоставлению муниципальной услуги</w:t>
      </w:r>
      <w:bookmarkStart w:id="0" w:name="Par29"/>
      <w:r/>
      <w:bookmarkEnd w:id="0"/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по выдаче разрешений на захоронение и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подзахоронение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на гражданских кладбищах муниципального образования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center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/>
      <w:bookmarkStart w:id="1" w:name="Par33"/>
      <w:r/>
      <w:bookmarkEnd w:id="1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1. Общие положения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1.1. Регламент устанавливает порядок и стандарт предоставления муниципальной услуги.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1.2. Заявителями, обратившимися за получением муниципальной услуги, являются физические лица.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1.2.1. Представлять интересы заявителя от имени физических лиц о выдаче разрешений на захоронение (перезахоронение) 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подзахоронение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на гражданских кладбищах муниципального образования могут супруг, близкие родственники (дети, родители, усыновленные, усыновители, родные братья, родные сестры, внуки, дедушки, бабушки), иные родственники или законный представитель.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От имени физических лиц могут выступать представители, действующие на основании доверенности.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В настоящем регламенте используются сокращения: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муниципальное автономное учреждение «Многофункциональный центр предоставления государственных и муниципальных услуг </w:t>
      </w:r>
      <w:r>
        <w:rPr>
          <w:rFonts w:ascii="Times New Roman" w:hAnsi="Times New Roman" w:cs="Times New Roman"/>
          <w:sz w:val="24"/>
          <w:szCs w:val="24"/>
        </w:rPr>
        <w:t xml:space="preserve">Мокшанского</w:t>
      </w:r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области» – МФЦ;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федеральная государственная информационная система «Единый портал государственных и муниципальных услуг (функций)» (</w:t>
      </w:r>
      <w:hyperlink r:id="rId15" w:tooltip="http://www.gosuslugi.ru" w:history="1">
        <w:r>
          <w:rPr>
            <w:rStyle w:val="629"/>
            <w:rFonts w:ascii="Times New Roman" w:hAnsi="Times New Roman" w:cs="Times New Roman"/>
            <w:sz w:val="24"/>
            <w:szCs w:val="24"/>
          </w:rPr>
          <w:t xml:space="preserve">www.gosuslugi.ru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 - Единый портал;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государственная информационная система «Комплексная система предоставления государственных и муниципальных услуг Пензенской области (</w:t>
      </w:r>
      <w:hyperlink r:id="rId16" w:tooltip="https://gosuslugi.pnzreg.ru" w:history="1">
        <w:r>
          <w:rPr>
            <w:rStyle w:val="629"/>
            <w:rFonts w:ascii="Times New Roman" w:hAnsi="Times New Roman" w:cs="Times New Roman"/>
            <w:sz w:val="24"/>
            <w:szCs w:val="24"/>
          </w:rPr>
          <w:t xml:space="preserve">https://gosuslugi.pnzreg.ru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 – КСПГМУ </w:t>
      </w:r>
      <w:r>
        <w:rPr>
          <w:rFonts w:ascii="Times New Roman" w:hAnsi="Times New Roman" w:cs="Times New Roman"/>
          <w:sz w:val="24"/>
          <w:szCs w:val="24"/>
        </w:rPr>
        <w:t xml:space="preserve">ПО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 совместном упоминании Единый портал,  КСПГМУ </w:t>
      </w:r>
      <w:r>
        <w:rPr>
          <w:rFonts w:ascii="Times New Roman" w:hAnsi="Times New Roman" w:cs="Times New Roman"/>
          <w:sz w:val="24"/>
          <w:szCs w:val="24"/>
        </w:rPr>
        <w:t xml:space="preserve">ПО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Администрация</w:t>
      </w:r>
      <w:r>
        <w:rPr>
          <w:rFonts w:ascii="Times New Roman" w:hAnsi="Times New Roman" w:cs="Times New Roman"/>
          <w:sz w:val="24"/>
          <w:szCs w:val="24"/>
        </w:rPr>
        <w:t xml:space="preserve"> – порталы."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ff0000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center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/>
      <w:bookmarkStart w:id="2" w:name="Par104"/>
      <w:r/>
      <w:bookmarkEnd w:id="2"/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/>
        </w:rPr>
        <w:t xml:space="preserve">II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. Стандарт предоставления муниципальной услуги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2.1. Наименование муниципальной услуги: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Выдача разрешений на захоронение (перезахоронение) 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подзахоронение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на гражданских кладбищах муниципального образования».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2.2. Наименование органа предоставляющего муниципальную услугу.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Услугу предоставляет: администрация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Нечаевского сельсовета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Мокшанского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района Пензенской области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2.3. Результатом предоставления муниципальной услуги является: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выдача разрешения на захоронение умершего в могилу (на помещение урны с прахом в могилу);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выдача разрешения на захоронение умершего в родственное место захоронения, на участке в пределах ограды родственного места захоронения;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выдача разрешения на перезахоронение останков умершего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(ей) в могилу;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отказ в предоставлении муниципальной услуги.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Результат предоставления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муниципальной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услуги предоставляется (в соответствии со способом, указанным заявителем при подаче заявления и документов):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1) при личной явке в орган, предоставляющий муниципальную услугу.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2) без личной явки - почтовым отправлением.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2.4. Срок предоставления муниципальной услуги.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Предоставление муниципальной услуги осуществляется в день обращения с заявлением о предоставлении муниципальной услуги.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/>
      <w:bookmarkStart w:id="3" w:name="Par131"/>
      <w:r/>
      <w:bookmarkEnd w:id="3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подлежащих представлению заявителем: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/>
      <w:bookmarkStart w:id="4" w:name="Par133"/>
      <w:r/>
      <w:bookmarkEnd w:id="4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а) для получения разрешения на захоронение умершего в могилу (на помещение урны с прахом в могилу):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/>
      <w:bookmarkStart w:id="5" w:name="Par134"/>
      <w:r/>
      <w:bookmarkEnd w:id="5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1) заявление о выдаче разрешения на захоронение умершего в могилу (на помещение урны с прахом в могилу) (приложение № 1 к настоящему Административному регламенту);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2) свидетельство о смерти лица, в отношении которого подается заявление о выдаче разрешения на захоронение;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/>
      <w:bookmarkStart w:id="6" w:name="Par136"/>
      <w:r/>
      <w:bookmarkEnd w:id="6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3) документ, удостоверяющий личность лица, осуществляющего организацию погребения (не требуется в случае организации погребения агентами);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/>
      <w:bookmarkStart w:id="7" w:name="Par137"/>
      <w:r/>
      <w:bookmarkEnd w:id="7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4) документ, удостоверяющий право на организацию погребения (договор на оказание услуг по погребению либо доверенность - для агентов);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/>
      <w:bookmarkStart w:id="8" w:name="Par138"/>
      <w:r/>
      <w:bookmarkStart w:id="9" w:name="Par139"/>
      <w:r/>
      <w:bookmarkEnd w:id="8"/>
      <w:r/>
      <w:bookmarkEnd w:id="9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5) справка о кремации (предоставляется в случае обращения за разрешением на помещение урны с прахом в могилу);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6) согласие на обработку персональных данных.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б) для получения разрешения на захоронение умершего в родственное место захоронения, на участке в пределах ограды родственного места захоронения: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/>
      <w:bookmarkStart w:id="10" w:name="Par147"/>
      <w:r/>
      <w:bookmarkEnd w:id="10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1) заявление о выдаче разрешения на захоронение умершего в родственное место захоронения, на участке в пределах ограды родственного места захоронения (приложение № 2 к настоящему Административному регламенту);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/>
      <w:bookmarkStart w:id="11" w:name="Par148"/>
      <w:r/>
      <w:bookmarkEnd w:id="11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2) свидетельство о смерти лица, в отношении которого подается заявление о выдаче разрешения на захоронение в родственное место захоронения, в пределах ограды родственного места захоронения;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/>
      <w:bookmarkStart w:id="12" w:name="Par149"/>
      <w:r/>
      <w:bookmarkEnd w:id="12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3) свидетельство о смерти лица, ранее захороненного в родственном месте захоронения;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4) документы, подтверждающие факт родственных отношений между умершим и лицом, ранее захороненным в родственном месте захоронения;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5) документ, удостоверяющий личность лица, осуществляющего организацию погребения (не требуется в случае организации погребения агентами);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6) документ, удостоверяющий право на организацию погребения (договор на оказание услуг по погребению либо доверенность - для агентов);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/>
      <w:bookmarkStart w:id="13" w:name="Par153"/>
      <w:r/>
      <w:bookmarkEnd w:id="13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7) письменное согласие лица, ответственного за место захоронения, на захоронение умершего, являющегося иным родственником, а также близким лицом (иным, за исключением близких родственников и род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ственников лиц, состоящим в свойстве с лицом, ранее захороненным в родственном месте захоронения, а также лицом, чья жизнь, здоровье и благополучие были дороги лицу, ранее захороненному в родственном месте захоронения, в силу сложившихся личных отношений);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/>
      <w:bookmarkStart w:id="14" w:name="Par154"/>
      <w:r/>
      <w:bookmarkEnd w:id="14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8) справка о кремации (в случае обращения за разрешением на помещение урны с прахом в родственное место захоронения);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/>
      <w:bookmarkStart w:id="15" w:name="Par155"/>
      <w:r/>
      <w:bookmarkEnd w:id="15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9) согласие на обработку персональных данных.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в) для получения разрешения на перезахоронение останков умершего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(ей):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заявление о выдаче разрешения о перезахоронении останков умершего (ей) в могилу (приложение № 3 к настоящим методическим рекомендациям);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свидетельство о смерти лица, в отношении которого подается заявление о выдаче разрешения о перезахоронении;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документ, удостоверяющий личность заявителя;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документы, подтверждающие факт родственных отношений между умершим и заявителем (свидетельство о рождении, свидетельство о браке, свидетельство о разводе и т.д.) либо нотариально удостоверенная доверенность (в случае обращения третьего лица);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5) справка, подтверждающая возможность принятия останков с последующим захоронением на кладбище;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) согласие на обработку персональных данных.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2.6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Для получения данной услуги не требуется предоставление иных документов, находящихся в распоряжении государственных органов, органов местн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ого самоуправления и подведомственным им организаций (за исключением организаций, оказывающих услуги, необходимые и обязательные для предоставления муниципальной услуги) и подлежащих предоставлению в рамках межведомственного информационного взаимодействия.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Органы, предоставляющие муниципальную услугу, не вправе требовать от заявителя: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1"/>
        </w:numPr>
        <w:ind w:left="0" w:firstLine="567"/>
        <w:jc w:val="both"/>
        <w:spacing w:before="100" w:beforeAutospacing="1"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1"/>
        </w:numPr>
        <w:ind w:left="0"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муниципальные услуги, иных государственных органов, органов местн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за исключением документов, включенных в определенный частью 6 статьи 7 Федерального закона </w:t>
      </w:r>
      <w:hyperlink r:id="rId17" w:tooltip="https://pravo-search.minjust.ru/bigs/showDocument.html?id=BBA0BFB1-06C7-4E50-A8D3-FE1045784BF1" w:history="1">
        <w:r>
          <w:rPr>
            <w:rFonts w:ascii="Times New Roman" w:hAnsi="Times New Roman" w:eastAsia="Times New Roman" w:cs="Times New Roman"/>
            <w:color w:val="0000ff"/>
            <w:sz w:val="24"/>
            <w:szCs w:val="24"/>
            <w:u w:val="single"/>
            <w:lang w:eastAsia="ru-RU"/>
          </w:rPr>
          <w:t xml:space="preserve">от 27.07.2010 № 210-ФЗ</w:t>
        </w:r>
      </w:hyperlink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«Об организации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предоставления государственных и муниципа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льных услуг» (далее – Федеральный закон № 210-ФЗ) перечень документов Заявитель вправе представить указанные документы и информацию в органы, предоставляющие государственные услуги, и органы, предоставляющие муниципальные услуги, по собственной инициативе;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1"/>
        </w:numPr>
        <w:ind w:left="0"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осуществления действий, в том числе согласований, необходимых для получения муниципальной услуги и связанных с обращением в иные государственные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органы, органы местного самоуправления, организации (за исключением получения у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слуг, являющихся необходимыми и обязательными для предоставления муниципальной услуги, включенных в перечни, предусмотренные частью 1 статьи 9 Федерального закона № 210-ФЗ, а также документов и информации, предоставляемых в результате оказания таких услуг;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Symbol" w:hAnsi="Symbol" w:eastAsia="Symbol" w:cs="Symbol"/>
          <w:sz w:val="24"/>
          <w:szCs w:val="24"/>
          <w:lang w:eastAsia="ru-RU"/>
        </w:rPr>
        <w:t xml:space="preserve">-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представления доку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Symbol" w:hAnsi="Symbol" w:eastAsia="Symbol" w:cs="Symbol"/>
          <w:sz w:val="24"/>
          <w:szCs w:val="24"/>
          <w:lang w:eastAsia="ru-RU"/>
        </w:rPr>
        <w:t xml:space="preserve">-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Symbol" w:hAnsi="Symbol" w:eastAsia="Symbol" w:cs="Symbol"/>
          <w:sz w:val="24"/>
          <w:szCs w:val="24"/>
          <w:lang w:eastAsia="ru-RU"/>
        </w:rPr>
        <w:t xml:space="preserve">-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наличие ошибок в заявлении о предоставлении муниципа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льной услуги и документах, поданных заявителем после первоначального отказа в приеме документов, необходимых для предоставления или муниципальной услуги, либо в предоставлении муниципальной услуги и не включенных в представленный ранее комплект документов;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Symbol" w:hAnsi="Symbol" w:eastAsia="Symbol" w:cs="Symbol"/>
          <w:sz w:val="24"/>
          <w:szCs w:val="24"/>
          <w:lang w:eastAsia="ru-RU"/>
        </w:rPr>
        <w:t xml:space="preserve">-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Symbol" w:hAnsi="Symbol" w:eastAsia="Symbol" w:cs="Symbol"/>
          <w:sz w:val="24"/>
          <w:szCs w:val="24"/>
          <w:lang w:eastAsia="ru-RU"/>
        </w:rPr>
        <w:t xml:space="preserve">-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выявление документально подтвержденного факта (признаков) ошибочн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ого или противоправного действия (бездействия) должностного лица органа, предоставляющего государственную услугу, или органа, предоставляющего муниципальную услугу, муниципального служащего, работника многофункционального центра, работника организации, пре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органа, предоставляющего муниципальную услугу, руководителя многофункционального центра при первоначальном отк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7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Исчерпывающий перечень оснований для приостановления предоставления муниципальной услуги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Основания для приостановления предоставления муниципальной услуги не предусмотрены.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2.8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Исчерпывающий перечень оснований для отказа в предоставлении муниципальной услуги: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Symbol" w:hAnsi="Symbol" w:eastAsia="Symbol" w:cs="Symbol"/>
          <w:sz w:val="24"/>
          <w:szCs w:val="24"/>
          <w:lang w:eastAsia="ru-RU"/>
        </w:rPr>
        <w:t xml:space="preserve">-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bookmarkStart w:id="16" w:name="Par169"/>
      <w:r/>
      <w:bookmarkEnd w:id="16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непредставление всех требующихся документов или сведений, указанных в пункте 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настоящего Административного регламента;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Symbol" w:hAnsi="Symbol" w:eastAsia="Symbol" w:cs="Symbol"/>
          <w:sz w:val="24"/>
          <w:szCs w:val="24"/>
          <w:lang w:eastAsia="ru-RU"/>
        </w:rPr>
        <w:t xml:space="preserve">-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bookmarkStart w:id="17" w:name="Par170"/>
      <w:r/>
      <w:bookmarkEnd w:id="17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тексты документов написаны неразборчиво, в документах имеются подчистки, приписки, зачеркнутые слова и иные неоговоренные исправления, не позволяющие однозначно истолковать их содержание;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Symbol" w:hAnsi="Symbol" w:eastAsia="Symbol" w:cs="Symbol"/>
          <w:sz w:val="24"/>
          <w:szCs w:val="24"/>
          <w:lang w:eastAsia="ru-RU"/>
        </w:rPr>
        <w:t xml:space="preserve">-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bookmarkStart w:id="18" w:name="Par171"/>
      <w:r/>
      <w:bookmarkEnd w:id="18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документы поданы лицом, не уполномоченным заявителем на осуществление таких действий.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 выявлении оснований для отказа в предоставлении муниципальной услуги, предусмотренных абзацами два, три настоящего пункта, заявителю разъясняется о необходимости устранить недостатки.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Заявитель вправе повторно обратиться за получением муниципальной услуги после устранения оснований для отказа в предоставлении муниципальной услуги.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 выявлении оснований для отказа в предоставлении муниципальной услуги, предусмотренных абзацем четыре нас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тоящего пункта, разъясняется о необходимости оформить соответствующий документ о наделении лица полномочиями на осуществлении действий, направленных на получение муниципальной услуги, или предлагается заявителю самостоятельно обраться за получением услуги.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2.9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Размер платы, взимаемый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 заявителя при предоставлении муниципальной услуги, и способы ее взимания в случаях, предусмотренных федеральным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Муниципальная услуга предоставляется Администрацией бесплатно.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2.10.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муниципальные услуги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Срок регистрации запроса заявителя о предоставлении муниципальной услуги.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2.1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Запрос заявителя о предоставлении муниципальной услуги регистрируется в Администрации: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 личном обращении – в день поступления запроса,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 направлении заявления почтовой связью в Администрацию - в день поступления заявления в Администрацию.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2.1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</w:t>
      </w:r>
      <w:r>
        <w:rPr>
          <w:rFonts w:ascii="Times New Roman" w:hAnsi="Times New Roman" w:cs="Times New Roman"/>
          <w:sz w:val="24"/>
          <w:szCs w:val="24"/>
        </w:rPr>
        <w:t xml:space="preserve">перечнем документов и (или) информации,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Администрации, МФЦ выделяются помещения для приема заявителей. Вход в помещение, в котором предоставляется муниципальная услуга, оборудуется для свободного </w:t>
      </w:r>
      <w:r>
        <w:rPr>
          <w:rFonts w:ascii="Times New Roman" w:hAnsi="Times New Roman" w:cs="Times New Roman"/>
          <w:sz w:val="24"/>
          <w:szCs w:val="24"/>
        </w:rPr>
        <w:t xml:space="preserve">доступа заявителей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Окна (кабинеты) приема заявителей оборудуются информационными табличками (вывесками) с </w:t>
      </w:r>
      <w:r>
        <w:rPr>
          <w:rFonts w:ascii="Times New Roman" w:hAnsi="Times New Roman" w:cs="Times New Roman"/>
          <w:sz w:val="24"/>
          <w:szCs w:val="24"/>
        </w:rPr>
        <w:t xml:space="preserve">указанием</w:t>
      </w:r>
      <w:r>
        <w:rPr>
          <w:rFonts w:ascii="Times New Roman" w:hAnsi="Times New Roman" w:cs="Times New Roman"/>
          <w:sz w:val="24"/>
          <w:szCs w:val="24"/>
        </w:rPr>
        <w:t xml:space="preserve"> в том числе номера окна (кабинета); фамилии, имени, отчества (при наличии) и должности муниципального служащего, работника; времени перерыва на обед; графика приема заявителей.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Рабочие места муниципальных служащих, работников оснащаются печатающими и сканирующими устройствами, персональными компьютерами с возможностью доступа к необходимым информационным базам данных.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Площадь мест ожидания в помещениях, в которых предоставляется муниципальная услуга, не может составлять менее 5 мест, из них не менее двух мест - для инвалидов.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Места ожидания должны соответствовать комфортным условиям для заявителей и оптимальным условиям работы государственных служащих.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Места ожидания в очереди на представление или получение документов оборудуются стульями, кресельными секциями, скамьями (</w:t>
      </w:r>
      <w:r>
        <w:rPr>
          <w:rFonts w:ascii="Times New Roman" w:hAnsi="Times New Roman" w:cs="Times New Roman"/>
          <w:sz w:val="24"/>
          <w:szCs w:val="24"/>
        </w:rPr>
        <w:t xml:space="preserve">банкетками</w:t>
      </w:r>
      <w:r>
        <w:rPr>
          <w:rFonts w:ascii="Times New Roman" w:hAnsi="Times New Roman" w:cs="Times New Roman"/>
          <w:sz w:val="24"/>
          <w:szCs w:val="24"/>
        </w:rPr>
        <w:t xml:space="preserve">), а также столами (стойками).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Места ожидания оборудуются местами для заполнения запросов о предоставлении муниципальной услуги, бумагой, ручками.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Помещения, в которых предоставляется муниципальная услуга, оборудуются стендами, содержащими </w:t>
      </w:r>
      <w:r>
        <w:rPr>
          <w:rFonts w:ascii="Times New Roman" w:hAnsi="Times New Roman" w:cs="Times New Roman"/>
          <w:sz w:val="24"/>
          <w:szCs w:val="24"/>
        </w:rPr>
        <w:t xml:space="preserve">информацию о порядке предоставления муниципальной услуги, в том числе текст настоящего регламента со всеми изменениями, образцами заполнения заявлений, запросов и перечнем документов и (или) информации, необходимые для предоставления муниципальной услуги.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государственной услуги им обеспечиваются: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условия для беспрепятственного доступа к объекту (зданию, помещению), в котором предоставляется государственная услуга, а также для беспрепятственного пользования транспортом, средствами связи и информации;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возможность самостоятельного передвижения п</w:t>
      </w:r>
      <w:r>
        <w:rPr>
          <w:rFonts w:ascii="Times New Roman" w:hAnsi="Times New Roman" w:cs="Times New Roman"/>
          <w:sz w:val="24"/>
          <w:szCs w:val="24"/>
        </w:rPr>
        <w:t xml:space="preserve">о территории, на которой расположены объекты (здания, помещения),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сопровождение инвалидов, имеющих стойкие расстройства функции зрения и самостоятельного передвижения, и оказание им помощи;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муниципальная услуга, с учетом ограничений их жизнедеятельности;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</w:t>
      </w:r>
      <w:r>
        <w:rPr>
          <w:rFonts w:ascii="Times New Roman" w:hAnsi="Times New Roman" w:cs="Times New Roman"/>
          <w:sz w:val="24"/>
          <w:szCs w:val="24"/>
        </w:rPr>
        <w:t xml:space="preserve">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допуск </w:t>
      </w:r>
      <w:r>
        <w:rPr>
          <w:rFonts w:ascii="Times New Roman" w:hAnsi="Times New Roman" w:cs="Times New Roman"/>
          <w:sz w:val="24"/>
          <w:szCs w:val="24"/>
        </w:rPr>
        <w:t xml:space="preserve">сурдопереводчика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тифлосурдопереводчика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ж) допуск собаки-проводника на объекты (здания, помещения), в которых предоставляется государственная услуга, при наличии документа, подтверждающего ее специальное обучение и выдаваемого по </w:t>
      </w:r>
      <w:hyperlink r:id="rId18" w:tooltip="consultantplus://offline/ref=A82F6BDF2C658880A497F5A9108C17A723541983DACF84305665B50536681C634858DB0286995B072A238D58174D12E66FC1DAFE1FAC86B341I8G" w:history="1">
        <w:r>
          <w:rPr>
            <w:rFonts w:ascii="Times New Roman" w:hAnsi="Times New Roman" w:cs="Times New Roman"/>
            <w:sz w:val="24"/>
            <w:szCs w:val="24"/>
          </w:rPr>
          <w:t xml:space="preserve">форме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в </w:t>
      </w:r>
      <w:hyperlink r:id="rId19" w:tooltip="consultantplus://offline/ref=A82F6BDF2C658880A497F5A9108C17A723541983DACF84305665B50536681C634858DB0286995B0520238D58174D12E66FC1DAFE1FAC86B341I8G" w:history="1">
        <w:r>
          <w:rPr>
            <w:rFonts w:ascii="Times New Roman" w:hAnsi="Times New Roman" w:cs="Times New Roman"/>
            <w:sz w:val="24"/>
            <w:szCs w:val="24"/>
          </w:rPr>
          <w:t xml:space="preserve">порядке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которые установлены приказом Министерства труда и социальной защиты Российской Федерации от 22 июня </w:t>
      </w:r>
      <w:r>
        <w:rPr>
          <w:rFonts w:ascii="Times New Roman" w:hAnsi="Times New Roman" w:cs="Times New Roman"/>
          <w:sz w:val="24"/>
          <w:szCs w:val="24"/>
        </w:rPr>
        <w:t xml:space="preserve">2015 г</w:t>
      </w:r>
      <w:r>
        <w:rPr>
          <w:rFonts w:ascii="Times New Roman" w:hAnsi="Times New Roman" w:cs="Times New Roman"/>
          <w:sz w:val="24"/>
          <w:szCs w:val="24"/>
        </w:rPr>
        <w:t xml:space="preserve">. № 386н «Об утверждении формы документа, подтверждающего специальное обучение собаки-проводника, и порядка его выдачи»;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</w:t>
      </w:r>
      <w:r>
        <w:rPr>
          <w:rFonts w:ascii="Times New Roman" w:hAnsi="Times New Roman" w:cs="Times New Roman"/>
          <w:sz w:val="24"/>
          <w:szCs w:val="24"/>
        </w:rPr>
        <w:t xml:space="preserve">) оказание инвалидам помощи в преодолении барьеров, мешающих получению ими государственной услуги наравне с другими лицами.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невозможности полностью приспособить объект с учетом потребности инвалида собстве</w:t>
      </w:r>
      <w:r>
        <w:rPr>
          <w:rFonts w:ascii="Times New Roman" w:hAnsi="Times New Roman" w:cs="Times New Roman"/>
          <w:sz w:val="24"/>
          <w:szCs w:val="24"/>
        </w:rPr>
        <w:t xml:space="preserve">нник данного объекта обеспечивает инвалиду доступ к месту предоставления муниципальной услуги либо, когда это возможно, ее предоставление обеспечивается по месту жительства (месту пребывания или фактического проживания) инвалида или в дистанционном режиме.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каждой стоянке (остановке) транспортных средств, в том числе около объектов социальной инфраструктуры, в которых осуществляется предоставление муниципальных услуг, выделяется не менее 10 процентов мест (но не менее одного </w:t>
      </w:r>
      <w:r>
        <w:rPr>
          <w:rFonts w:ascii="Times New Roman" w:hAnsi="Times New Roman" w:cs="Times New Roman"/>
          <w:sz w:val="24"/>
          <w:szCs w:val="24"/>
        </w:rPr>
        <w:t xml:space="preserve">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</w:t>
      </w:r>
      <w:r>
        <w:rPr>
          <w:rFonts w:ascii="Times New Roman" w:hAnsi="Times New Roman" w:cs="Times New Roman"/>
          <w:sz w:val="24"/>
          <w:szCs w:val="24"/>
        </w:rPr>
        <w:t xml:space="preserve">. На указанных транспортных средствах должен быть установлен опознавательный знак «Инвалид». Указанные места для парковки не должны занимать иные транспортные средства.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Показатели качества муниципальной услуги: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1) соблюдение срока предоставления муниципальной услуги;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2) соблюдение времени ожидания в очереди при подаче заявления и получении результата;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3) осуществление не более одного обращения заявителя к должностным лицам Администрации при подаче документов на получение муниципальной услуги и не более одного обращения при получении результата;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4) отсутствие жалоб на действия или бездействие должностных лиц Администрации, поданных в установленном порядке.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2.1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Услуги, являющиеся необходимыми и обязательными для предоставления муниципальной услуги: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Symbol" w:hAnsi="Symbol" w:eastAsia="Symbol" w:cs="Symbol"/>
          <w:sz w:val="24"/>
          <w:szCs w:val="24"/>
          <w:lang w:eastAsia="ru-RU"/>
        </w:rPr>
        <w:t xml:space="preserve">-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подготовка и выдача подлинной справки о кремации (в случае обращения за разрешением на помещение урны с прахом в могилу);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Symbol" w:hAnsi="Symbol" w:eastAsia="Symbol" w:cs="Symbol"/>
          <w:sz w:val="24"/>
          <w:szCs w:val="24"/>
          <w:lang w:eastAsia="ru-RU"/>
        </w:rPr>
        <w:t xml:space="preserve">-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подготовка и выдача документа, подтверждающего право на организацию погребения/договора на оказание услуг по погребению (в случае если за разрешением обращается агент ритуального обслуживания).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2.1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Иные требования, в том числе учитывающие особенности предоставления муниципальной услуги в Администрации и особенности предоставления муниципальной услуги в электронной форме.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2.1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.1. Предоставление услуги посредством МФЦ не предусмотрено.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2.1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.2. Предоставление услуги в электронной форме не предусмотрено.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3. Состав, последовательность и сроки выполнения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административных процедур, требования к порядку их выполнения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3.1. Предоставление муниципальной услуги включает в себя следующие административные процедуры: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1) прием и регистрация заявления о предоставлении муниципальной услуги;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2) рассмотрение документов о предоставлении муниципальной услуги;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3) выдача результата предоставления муниципальной услуги.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Предоставление муниципальной услуги осуществляется в день обращения заявителя.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3.2. Прием и регистрация заявления о предоставлении муниципальной услуги.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Основанием для начала административного действия является поступление в Администрацию заявления и пакета до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кументов, предусмотренных п. 2.5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регламента.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Содержание административного действия, продолжительность 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(или) максимальный срок его выполнения: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 представлении документов лично заявителем специалист ответственного органа, уполномоченный на предоставление муниципальной услуги, на копии запроса ставит отметку о приеме запроса: должность, фамилия, инициалы, подпись, дата приема запроса.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Прием и регистрация документов осуществляется в день их поступления в ответственный орган в Книге регистрации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захоронений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и передаются на исполнение исполнителям.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Результат выполнения административной процедуры: регистрация заявления о предоставлении муниципальной услуги, и передача на исполнение специалисту ответственного органа.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3.3. Рассмотрение документов о предоставлении муниципальной услуги.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Основанием для начала административного действия является поступление зарегистрированного заявления с приложенными документами специалисту ответственного органа.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Содержание административного действия, продолжительность 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(или) максимальный срок его выполнения: рассмотрение заявления и приложенных документов осуществляет специалист ответственного органа в день их поступления.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 рассмотрении поступивших в ответственный орган заявления и документов специалист выявляет отсутствие оснований для отказа в предоставлении муниципальной услуги, предусмотренных пунктом </w:t>
      </w:r>
      <w:r>
        <w:rPr>
          <w:rFonts w:ascii="Times New Roman" w:hAnsi="Times New Roman" w:eastAsia="Times New Roman" w:cs="Times New Roman"/>
          <w:color w:val="ff0000"/>
          <w:sz w:val="24"/>
          <w:szCs w:val="24"/>
          <w:lang w:eastAsia="ru-RU"/>
        </w:rPr>
        <w:t xml:space="preserve">2.8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настоящего Административного регламента, в том числе проверяет правильность оформления представленных документов, определяет их соответствие требованиям законодательства Российской Федерации.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 результатам рассмотрения представленных заявителем документов специалист ответственного органа оформляет разре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шение на захоронение умершего в могилу (на помещение урны с прахом в могилу) / разрешение на захоронение умершего в родственное место захоронения, на участке в пределах ограды родственного места захоронения / разрешение на перезахоронение останков умершего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(ей) в могилу или готовит письменный ответ заявителю об отказе в предоставлении муниципальной услуги (при выявлении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оснований для отказа в предоставлении муниципальной услуги).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Разр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ешение на захоронение умершего в могилу (на помещение урны с прахом в могилу) / разрешение на захоронение умершего в родственное место захоронения, на участке в пределах ограды родственного места захоронения / разрешение на перезахоронение останков умершег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о(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ей) в могилу подписывается руководителем ответственного органа или уполномоченным им должностным лицом.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случае отсутствия возможности осуществить захоронение в родственное место захоро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нения (отсутствует письменное согласие лица, ответственного за захоронение, не истек кладбищенский период, отсутствует свободное место в родственном месте захоронения) специалист ответственного органа оформляет разрешение на захоронение в отдельную могилу.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Мотивированный письменный ответ подписывается руководителем ответственного органа или уполномоченным им лицом и выдается на руки заявителю.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Результат выполнения административной процедуры: подписание разре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шения на захоронение умершего в могилу (на помещение урны с прахом в могилу) / разрешения на захоронение умершего в родственное место захоронения, на участке в пределах ограды родственного места захоронения / разрешения на перезахоронение останков умершего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(ей) в могилу или подписанное письмо заявителю об отказе в предоставлении муниципальной услуги.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3.4. Выдача результата предоставления муниципальной услуги.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Основание для начала административной процедуры: подписание разре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шения на захоронение умершего в могилу (на помещение урны с прахом в могилу) / разрешения на захоронение умершего в родственное место захоронения, на участке в пределах ограды родственного места захоронения / разрешения на перезахоронение останков умершего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(ей) в могилу или подписание письма об отказе в предоставлении муниципальной услуги.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Содержание административного действия, продолжительность 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(или) максимальный срок его выполнения: Направление результата предоставления муниципальной услуги способом, указанным в заявлении после регистрации в Книге регистрации захоронений.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Лицо, ответственное за выполнение административной процедуры: уполномоченный работник Администрации.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Результат выполнения административной процедуры: направление результата предоставления муниципальной услуги в день обращения заявителя.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  <w:sectPr>
          <w:footnotePr/>
          <w:endnotePr/>
          <w:type w:val="nextPage"/>
          <w:pgSz w:w="12240" w:h="15840" w:orient="portrait"/>
          <w:pgMar w:top="1134" w:right="850" w:bottom="1134" w:left="1701" w:header="720" w:footer="720" w:gutter="0"/>
          <w:cols w:num="1" w:sep="0" w:space="720" w:equalWidth="1"/>
          <w:docGrid w:linePitch="360"/>
        </w:sect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jc w:val="right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Приложение № 1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jc w:val="right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к Административному регламенту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567"/>
        <w:jc w:val="right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В ответственный орган местного самоуправления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567"/>
        <w:jc w:val="right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от ________________________________________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567"/>
        <w:jc w:val="right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(Ф.И.О. заявителя)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567"/>
        <w:jc w:val="right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зарегистрированного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по адресу: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567"/>
        <w:jc w:val="right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___________________________________________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567"/>
        <w:jc w:val="right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____________________________________________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567"/>
        <w:jc w:val="right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(место регистрации; телефон, факс,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567"/>
        <w:jc w:val="right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иные сведения)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567"/>
        <w:jc w:val="center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/>
      <w:bookmarkStart w:id="19" w:name="Par332"/>
      <w:r/>
      <w:bookmarkEnd w:id="19"/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Заявление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567"/>
        <w:jc w:val="center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о выдаче разрешения на захоронение умершего в могилу (на помещение урны с прахом в могилу)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Прошу выдать разрешение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на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(фамилия, имя, отчество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(при наличии)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умершего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)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Дата смерти _________________, на кладбище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___________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(наименование кладбища)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___________________________________________________________________________________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(дата, Ф.И.О., подпись)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a"/>
          <w:sz w:val="20"/>
          <w:szCs w:val="20"/>
          <w:lang w:eastAsia="ru-RU"/>
        </w:rPr>
        <w:t xml:space="preserve">Правильность сведений подтверждаю, даю согласие на обработку персональных данных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00000a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a"/>
          <w:sz w:val="20"/>
          <w:szCs w:val="20"/>
          <w:lang w:eastAsia="ru-RU"/>
        </w:rPr>
        <w:t xml:space="preserve">«____»_________________20___ г. Подпись ______________/_______________________</w:t>
      </w:r>
      <w:r>
        <w:rPr>
          <w:rFonts w:ascii="Times New Roman" w:hAnsi="Times New Roman" w:eastAsia="Times New Roman" w:cs="Times New Roman"/>
          <w:color w:val="00000a"/>
          <w:sz w:val="20"/>
          <w:szCs w:val="20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center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tbl>
      <w:tblPr>
        <w:tblW w:w="0" w:type="auto"/>
        <w:tblInd w:w="3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5"/>
        <w:gridCol w:w="5799"/>
      </w:tblGrid>
      <w:tr>
        <w:tblPrEx/>
        <w:trPr>
          <w:trHeight w:val="38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25" w:type="dxa"/>
            <w:textDirection w:val="lrTb"/>
            <w:noWrap w:val="false"/>
          </w:tcPr>
          <w:p>
            <w:pPr>
              <w:ind w:firstLine="567"/>
              <w:jc w:val="both"/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lef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799" w:type="dxa"/>
            <w:textDirection w:val="lrTb"/>
            <w:noWrap w:val="false"/>
          </w:tcPr>
          <w:p>
            <w:pPr>
              <w:ind w:firstLine="567"/>
              <w:jc w:val="both"/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выдать на руки в Администрации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82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25" w:type="dxa"/>
            <w:textDirection w:val="lrTb"/>
            <w:noWrap w:val="false"/>
          </w:tcPr>
          <w:p>
            <w:pPr>
              <w:ind w:firstLine="567"/>
              <w:jc w:val="both"/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lef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799" w:type="dxa"/>
            <w:textDirection w:val="lrTb"/>
            <w:noWrap w:val="false"/>
          </w:tcPr>
          <w:p>
            <w:pPr>
              <w:ind w:firstLine="567"/>
              <w:jc w:val="both"/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направить по почте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jc w:val="center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/>
      <w:bookmarkStart w:id="20" w:name="Par357"/>
      <w:r/>
      <w:bookmarkEnd w:id="20"/>
      <w:r/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Приложение № 2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 Административному регламенту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right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ответственный орган местного самоуправления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right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от ________________________________________,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right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(Ф.И.О. заявителя)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right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зарегистрированного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по адресу: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right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right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(место регистрации; телефон, факс,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right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иные сведения)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right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center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/>
      <w:bookmarkStart w:id="21" w:name="Par372"/>
      <w:r/>
      <w:bookmarkEnd w:id="21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Заявление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center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 выдаче разрешения на захоронение умершего в родственное место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center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захоронения, на участке в пределах ограды родственного места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center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захоронения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Прошу выдать разрешение на захоронение умершего родственника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______________________________________________________________________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(фамилия, имя, отчество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(при наличии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_________________________________________________________________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(указать куда: в родственное захоронение или на участок в пределах ограды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родственного захоронения)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где ранее захоронен в ___________ году 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(родственное отношение, Ф.И.О. ранее__________________________________________________________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захороненного лица)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на участке N ________, в могиле N _______, на кладбище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на могиле имеется ___________________________________________________________________(указать вид намогильного сооружения)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 надписью ____________________________________________________________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(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Ф.И.О. ранее захороненного лица)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a"/>
          <w:sz w:val="24"/>
          <w:szCs w:val="24"/>
          <w:lang w:eastAsia="ru-RU"/>
        </w:rPr>
        <w:t xml:space="preserve">Правильность сведений подтверждаю, даю согласие на обработку персональных данных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a"/>
          <w:sz w:val="24"/>
          <w:szCs w:val="24"/>
          <w:lang w:eastAsia="ru-RU"/>
        </w:rPr>
        <w:t xml:space="preserve">«____»_________________20___ г. Подпись ______________/_______________________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center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center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tbl>
      <w:tblPr>
        <w:tblW w:w="0" w:type="auto"/>
        <w:tblInd w:w="3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5"/>
        <w:gridCol w:w="5799"/>
      </w:tblGrid>
      <w:tr>
        <w:tblPrEx/>
        <w:trPr>
          <w:trHeight w:val="38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25" w:type="dxa"/>
            <w:textDirection w:val="lrTb"/>
            <w:noWrap w:val="false"/>
          </w:tcPr>
          <w:p>
            <w:pPr>
              <w:ind w:firstLine="567"/>
              <w:jc w:val="both"/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lef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799" w:type="dxa"/>
            <w:textDirection w:val="lrTb"/>
            <w:noWrap w:val="false"/>
          </w:tcPr>
          <w:p>
            <w:pPr>
              <w:ind w:firstLine="567"/>
              <w:jc w:val="both"/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выдать на руки в Администрации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82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25" w:type="dxa"/>
            <w:textDirection w:val="lrTb"/>
            <w:noWrap w:val="false"/>
          </w:tcPr>
          <w:p>
            <w:pPr>
              <w:ind w:firstLine="567"/>
              <w:jc w:val="both"/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lef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799" w:type="dxa"/>
            <w:textDirection w:val="lrTb"/>
            <w:noWrap w:val="false"/>
          </w:tcPr>
          <w:p>
            <w:pPr>
              <w:ind w:firstLine="567"/>
              <w:jc w:val="both"/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направить по почте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jc w:val="right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00000a"/>
          <w:spacing w:val="-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a"/>
          <w:spacing w:val="-3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a"/>
          <w:spacing w:val="-3"/>
          <w:sz w:val="24"/>
          <w:szCs w:val="24"/>
          <w:lang w:eastAsia="ru-RU"/>
        </w:rPr>
      </w:r>
    </w:p>
    <w:p>
      <w:pPr>
        <w:jc w:val="right"/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00000a"/>
          <w:spacing w:val="-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a"/>
          <w:spacing w:val="-3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a"/>
          <w:spacing w:val="-3"/>
          <w:sz w:val="24"/>
          <w:szCs w:val="24"/>
          <w:lang w:eastAsia="ru-RU"/>
        </w:rPr>
      </w:r>
    </w:p>
    <w:p>
      <w:pPr>
        <w:jc w:val="right"/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00000a"/>
          <w:spacing w:val="-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a"/>
          <w:spacing w:val="-3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a"/>
          <w:spacing w:val="-3"/>
          <w:sz w:val="24"/>
          <w:szCs w:val="24"/>
          <w:lang w:eastAsia="ru-RU"/>
        </w:rPr>
      </w:r>
    </w:p>
    <w:p>
      <w:pPr>
        <w:jc w:val="right"/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00000a"/>
          <w:spacing w:val="-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a"/>
          <w:spacing w:val="-3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a"/>
          <w:spacing w:val="-3"/>
          <w:sz w:val="24"/>
          <w:szCs w:val="24"/>
          <w:lang w:eastAsia="ru-RU"/>
        </w:rPr>
      </w:r>
    </w:p>
    <w:p>
      <w:pPr>
        <w:jc w:val="right"/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00000a"/>
          <w:spacing w:val="-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a"/>
          <w:spacing w:val="-3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a"/>
          <w:spacing w:val="-3"/>
          <w:sz w:val="24"/>
          <w:szCs w:val="24"/>
          <w:lang w:eastAsia="ru-RU"/>
        </w:rPr>
      </w:r>
    </w:p>
    <w:p>
      <w:pPr>
        <w:jc w:val="right"/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00000a"/>
          <w:spacing w:val="-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a"/>
          <w:spacing w:val="-3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a"/>
          <w:spacing w:val="-3"/>
          <w:sz w:val="24"/>
          <w:szCs w:val="24"/>
          <w:lang w:eastAsia="ru-RU"/>
        </w:rPr>
      </w:r>
    </w:p>
    <w:p>
      <w:pPr>
        <w:jc w:val="right"/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00000a"/>
          <w:spacing w:val="-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a"/>
          <w:spacing w:val="-3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a"/>
          <w:spacing w:val="-3"/>
          <w:sz w:val="24"/>
          <w:szCs w:val="24"/>
          <w:lang w:eastAsia="ru-RU"/>
        </w:rPr>
      </w:r>
    </w:p>
    <w:p>
      <w:pPr>
        <w:jc w:val="right"/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00000a"/>
          <w:spacing w:val="-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a"/>
          <w:spacing w:val="-3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a"/>
          <w:spacing w:val="-3"/>
          <w:sz w:val="24"/>
          <w:szCs w:val="24"/>
          <w:lang w:eastAsia="ru-RU"/>
        </w:rPr>
      </w:r>
    </w:p>
    <w:p>
      <w:pPr>
        <w:jc w:val="right"/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00000a"/>
          <w:spacing w:val="-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a"/>
          <w:spacing w:val="-3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a"/>
          <w:spacing w:val="-3"/>
          <w:sz w:val="24"/>
          <w:szCs w:val="24"/>
          <w:lang w:eastAsia="ru-RU"/>
        </w:rPr>
      </w:r>
    </w:p>
    <w:p>
      <w:pPr>
        <w:jc w:val="right"/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00000a"/>
          <w:spacing w:val="-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a"/>
          <w:spacing w:val="-3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a"/>
          <w:spacing w:val="-3"/>
          <w:sz w:val="24"/>
          <w:szCs w:val="24"/>
          <w:lang w:eastAsia="ru-RU"/>
        </w:rPr>
      </w:r>
    </w:p>
    <w:p>
      <w:pPr>
        <w:jc w:val="right"/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00000a"/>
          <w:spacing w:val="-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a"/>
          <w:spacing w:val="-3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a"/>
          <w:spacing w:val="-3"/>
          <w:sz w:val="24"/>
          <w:szCs w:val="24"/>
          <w:lang w:eastAsia="ru-RU"/>
        </w:rPr>
      </w:r>
    </w:p>
    <w:p>
      <w:pPr>
        <w:jc w:val="right"/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00000a"/>
          <w:spacing w:val="-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a"/>
          <w:spacing w:val="-3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a"/>
          <w:spacing w:val="-3"/>
          <w:sz w:val="24"/>
          <w:szCs w:val="24"/>
          <w:lang w:eastAsia="ru-RU"/>
        </w:rPr>
      </w:r>
    </w:p>
    <w:p>
      <w:pPr>
        <w:jc w:val="right"/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00000a"/>
          <w:spacing w:val="-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a"/>
          <w:spacing w:val="-3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a"/>
          <w:spacing w:val="-3"/>
          <w:sz w:val="24"/>
          <w:szCs w:val="24"/>
          <w:lang w:eastAsia="ru-RU"/>
        </w:rPr>
      </w:r>
    </w:p>
    <w:p>
      <w:pPr>
        <w:jc w:val="right"/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00000a"/>
          <w:spacing w:val="-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a"/>
          <w:spacing w:val="-3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a"/>
          <w:spacing w:val="-3"/>
          <w:sz w:val="24"/>
          <w:szCs w:val="24"/>
          <w:lang w:eastAsia="ru-RU"/>
        </w:rPr>
      </w:r>
    </w:p>
    <w:p>
      <w:pPr>
        <w:jc w:val="right"/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00000a"/>
          <w:spacing w:val="-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a"/>
          <w:spacing w:val="-3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a"/>
          <w:spacing w:val="-3"/>
          <w:sz w:val="24"/>
          <w:szCs w:val="24"/>
          <w:lang w:eastAsia="ru-RU"/>
        </w:rPr>
      </w:r>
    </w:p>
    <w:p>
      <w:pPr>
        <w:jc w:val="right"/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00000a"/>
          <w:spacing w:val="-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a"/>
          <w:spacing w:val="-3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a"/>
          <w:spacing w:val="-3"/>
          <w:sz w:val="24"/>
          <w:szCs w:val="24"/>
          <w:lang w:eastAsia="ru-RU"/>
        </w:rPr>
      </w:r>
    </w:p>
    <w:p>
      <w:pPr>
        <w:jc w:val="right"/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a"/>
          <w:spacing w:val="-3"/>
          <w:sz w:val="24"/>
          <w:szCs w:val="24"/>
          <w:lang w:eastAsia="ru-RU"/>
        </w:rPr>
        <w:t xml:space="preserve">Приложение № 3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a"/>
          <w:spacing w:val="-2"/>
          <w:sz w:val="24"/>
          <w:szCs w:val="24"/>
          <w:lang w:eastAsia="ru-RU"/>
        </w:rPr>
        <w:t xml:space="preserve">к методическим рекомендациям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00000a"/>
          <w:spacing w:val="-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a"/>
          <w:spacing w:val="-2"/>
          <w:sz w:val="24"/>
          <w:szCs w:val="24"/>
          <w:lang w:eastAsia="ru-RU"/>
        </w:rPr>
        <w:t xml:space="preserve">Главе администрации </w:t>
      </w:r>
      <w:r>
        <w:rPr>
          <w:rFonts w:ascii="Times New Roman" w:hAnsi="Times New Roman" w:eastAsia="Times New Roman" w:cs="Times New Roman"/>
          <w:color w:val="00000a"/>
          <w:spacing w:val="-2"/>
          <w:sz w:val="24"/>
          <w:szCs w:val="24"/>
          <w:lang w:eastAsia="ru-RU"/>
        </w:rPr>
        <w:t xml:space="preserve">Нечаевского сельсовета </w:t>
      </w:r>
      <w:r>
        <w:rPr>
          <w:rFonts w:ascii="Times New Roman" w:hAnsi="Times New Roman" w:eastAsia="Times New Roman" w:cs="Times New Roman"/>
          <w:color w:val="00000a"/>
          <w:spacing w:val="-2"/>
          <w:sz w:val="24"/>
          <w:szCs w:val="24"/>
          <w:lang w:eastAsia="ru-RU"/>
        </w:rPr>
      </w:r>
    </w:p>
    <w:p>
      <w:pPr>
        <w:jc w:val="right"/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00000a"/>
          <w:spacing w:val="-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a"/>
          <w:spacing w:val="-2"/>
          <w:sz w:val="24"/>
          <w:szCs w:val="24"/>
          <w:lang w:eastAsia="ru-RU"/>
        </w:rPr>
        <w:t xml:space="preserve">Мокшанского</w:t>
      </w:r>
      <w:r>
        <w:rPr>
          <w:rFonts w:ascii="Times New Roman" w:hAnsi="Times New Roman" w:eastAsia="Times New Roman" w:cs="Times New Roman"/>
          <w:color w:val="00000a"/>
          <w:spacing w:val="-2"/>
          <w:sz w:val="24"/>
          <w:szCs w:val="24"/>
          <w:lang w:eastAsia="ru-RU"/>
        </w:rPr>
        <w:t xml:space="preserve"> района</w:t>
      </w:r>
      <w:r>
        <w:rPr>
          <w:rFonts w:ascii="Times New Roman" w:hAnsi="Times New Roman" w:eastAsia="Times New Roman" w:cs="Times New Roman"/>
          <w:color w:val="00000a"/>
          <w:spacing w:val="-2"/>
          <w:sz w:val="24"/>
          <w:szCs w:val="24"/>
          <w:lang w:eastAsia="ru-RU"/>
        </w:rPr>
      </w:r>
    </w:p>
    <w:p>
      <w:pPr>
        <w:jc w:val="right"/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a"/>
          <w:spacing w:val="-2"/>
          <w:sz w:val="24"/>
          <w:szCs w:val="24"/>
          <w:lang w:eastAsia="ru-RU"/>
        </w:rPr>
        <w:t xml:space="preserve">Пензенской области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a"/>
          <w:sz w:val="24"/>
          <w:szCs w:val="24"/>
          <w:lang w:eastAsia="ru-RU"/>
        </w:rPr>
        <w:t xml:space="preserve">от_____________________________________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a"/>
          <w:sz w:val="24"/>
          <w:szCs w:val="24"/>
          <w:lang w:eastAsia="ru-RU"/>
        </w:rPr>
        <w:t xml:space="preserve">(Ф.И.О. заявителя)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a"/>
          <w:sz w:val="24"/>
          <w:szCs w:val="24"/>
          <w:lang w:eastAsia="ru-RU"/>
        </w:rPr>
        <w:t xml:space="preserve">зарегистрированного</w:t>
      </w:r>
      <w:r>
        <w:rPr>
          <w:rFonts w:ascii="Times New Roman" w:hAnsi="Times New Roman" w:eastAsia="Times New Roman" w:cs="Times New Roman"/>
          <w:color w:val="00000a"/>
          <w:sz w:val="24"/>
          <w:szCs w:val="24"/>
          <w:lang w:eastAsia="ru-RU"/>
        </w:rPr>
        <w:t xml:space="preserve"> по адресу: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a"/>
          <w:sz w:val="24"/>
          <w:szCs w:val="24"/>
          <w:lang w:eastAsia="ru-RU"/>
        </w:rPr>
        <w:t xml:space="preserve">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a"/>
          <w:sz w:val="24"/>
          <w:szCs w:val="24"/>
          <w:lang w:eastAsia="ru-RU"/>
        </w:rPr>
        <w:t xml:space="preserve">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a"/>
          <w:sz w:val="24"/>
          <w:szCs w:val="24"/>
          <w:lang w:eastAsia="ru-RU"/>
        </w:rPr>
        <w:t xml:space="preserve">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a"/>
          <w:sz w:val="24"/>
          <w:szCs w:val="24"/>
          <w:lang w:eastAsia="ru-RU"/>
        </w:rPr>
        <w:t xml:space="preserve">(паспортные данные, телефон)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center"/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a"/>
          <w:sz w:val="24"/>
          <w:szCs w:val="24"/>
          <w:lang w:eastAsia="ru-RU"/>
        </w:rPr>
        <w:t xml:space="preserve">Заявление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center"/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00000a"/>
          <w:spacing w:val="-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a"/>
          <w:spacing w:val="-1"/>
          <w:sz w:val="24"/>
          <w:szCs w:val="24"/>
          <w:lang w:eastAsia="ru-RU"/>
        </w:rPr>
        <w:t xml:space="preserve">о выдаче разрешения на перезахоронение останков умершего (ей) в могилу</w:t>
      </w:r>
      <w:r>
        <w:rPr>
          <w:rFonts w:ascii="Times New Roman" w:hAnsi="Times New Roman" w:eastAsia="Times New Roman" w:cs="Times New Roman"/>
          <w:color w:val="00000a"/>
          <w:spacing w:val="-1"/>
          <w:sz w:val="24"/>
          <w:szCs w:val="24"/>
          <w:lang w:eastAsia="ru-RU"/>
        </w:rPr>
      </w:r>
    </w:p>
    <w:p>
      <w:pPr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a"/>
          <w:spacing w:val="-2"/>
          <w:sz w:val="24"/>
          <w:szCs w:val="24"/>
          <w:lang w:eastAsia="ru-RU"/>
        </w:rPr>
        <w:t xml:space="preserve">Прошу выдать разрешение на перезахоронение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a"/>
          <w:spacing w:val="-2"/>
          <w:sz w:val="24"/>
          <w:szCs w:val="24"/>
          <w:lang w:eastAsia="ru-RU"/>
        </w:rPr>
        <w:t xml:space="preserve">___________________________________________________________________________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center"/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a"/>
          <w:spacing w:val="-2"/>
          <w:sz w:val="24"/>
          <w:szCs w:val="24"/>
          <w:lang w:eastAsia="ru-RU"/>
        </w:rPr>
        <w:t xml:space="preserve">(фамилия, имя, отчество</w:t>
      </w:r>
      <w:r>
        <w:rPr>
          <w:rFonts w:ascii="Times New Roman" w:hAnsi="Times New Roman" w:eastAsia="Times New Roman" w:cs="Times New Roman"/>
          <w:color w:val="00000a"/>
          <w:spacing w:val="-2"/>
          <w:sz w:val="24"/>
          <w:szCs w:val="24"/>
          <w:lang w:eastAsia="ru-RU"/>
        </w:rPr>
        <w:t xml:space="preserve"> (при наличии)</w:t>
      </w:r>
      <w:r>
        <w:rPr>
          <w:rFonts w:ascii="Times New Roman" w:hAnsi="Times New Roman" w:eastAsia="Times New Roman" w:cs="Times New Roman"/>
          <w:color w:val="00000a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a"/>
          <w:spacing w:val="-2"/>
          <w:sz w:val="24"/>
          <w:szCs w:val="24"/>
          <w:lang w:eastAsia="ru-RU"/>
        </w:rPr>
        <w:t xml:space="preserve">умершего</w:t>
      </w:r>
      <w:r>
        <w:rPr>
          <w:rFonts w:ascii="Times New Roman" w:hAnsi="Times New Roman" w:eastAsia="Times New Roman" w:cs="Times New Roman"/>
          <w:color w:val="00000a"/>
          <w:spacing w:val="-2"/>
          <w:sz w:val="24"/>
          <w:szCs w:val="24"/>
          <w:lang w:eastAsia="ru-RU"/>
        </w:rPr>
        <w:t xml:space="preserve">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a"/>
          <w:spacing w:val="-2"/>
          <w:sz w:val="24"/>
          <w:szCs w:val="24"/>
          <w:lang w:eastAsia="ru-RU"/>
        </w:rPr>
        <w:t xml:space="preserve">Дата смерти</w:t>
      </w:r>
      <w:r>
        <w:rPr>
          <w:rFonts w:ascii="Times New Roman" w:hAnsi="Times New Roman" w:eastAsia="Times New Roman" w:cs="Times New Roman"/>
          <w:color w:val="00000a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a"/>
          <w:sz w:val="24"/>
          <w:szCs w:val="24"/>
          <w:lang w:eastAsia="ru-RU"/>
        </w:rPr>
        <w:t xml:space="preserve">_____________________,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a"/>
          <w:spacing w:val="-2"/>
          <w:sz w:val="24"/>
          <w:szCs w:val="24"/>
          <w:lang w:eastAsia="ru-RU"/>
        </w:rPr>
        <w:t xml:space="preserve">захороненного _________________________________________________________________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center"/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a"/>
          <w:spacing w:val="-3"/>
          <w:sz w:val="24"/>
          <w:szCs w:val="24"/>
          <w:lang w:eastAsia="ru-RU"/>
        </w:rPr>
        <w:t xml:space="preserve">(наименование кладбища)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a"/>
          <w:spacing w:val="-3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a"/>
          <w:spacing w:val="-3"/>
          <w:sz w:val="24"/>
          <w:szCs w:val="24"/>
          <w:lang w:eastAsia="ru-RU"/>
        </w:rPr>
        <w:t xml:space="preserve">Место перезахоронение -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__________________________________________________________</w:t>
      </w:r>
      <w:r>
        <w:rPr>
          <w:rFonts w:ascii="Times New Roman" w:hAnsi="Times New Roman" w:eastAsia="Times New Roman" w:cs="Times New Roman"/>
          <w:color w:val="00000a"/>
          <w:spacing w:val="-3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center"/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a"/>
          <w:spacing w:val="-3"/>
          <w:sz w:val="24"/>
          <w:szCs w:val="24"/>
          <w:lang w:eastAsia="ru-RU"/>
        </w:rPr>
        <w:t xml:space="preserve">(наименование кладбища)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a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a"/>
          <w:spacing w:val="-3"/>
          <w:sz w:val="24"/>
          <w:szCs w:val="24"/>
          <w:lang w:eastAsia="ru-RU"/>
        </w:rPr>
        <w:t xml:space="preserve">_____________________________________________________________________________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a"/>
          <w:sz w:val="24"/>
          <w:szCs w:val="24"/>
          <w:lang w:eastAsia="ru-RU"/>
        </w:rPr>
        <w:t xml:space="preserve">(дата.</w:t>
      </w:r>
      <w:r>
        <w:rPr>
          <w:rFonts w:ascii="Times New Roman" w:hAnsi="Times New Roman" w:eastAsia="Times New Roman" w:cs="Times New Roman"/>
          <w:color w:val="00000a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a"/>
          <w:sz w:val="24"/>
          <w:szCs w:val="24"/>
          <w:lang w:eastAsia="ru-RU"/>
        </w:rPr>
        <w:t xml:space="preserve">Ф.И.О., подпись)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a"/>
          <w:sz w:val="24"/>
          <w:szCs w:val="24"/>
          <w:lang w:eastAsia="ru-RU"/>
        </w:rPr>
        <w:t xml:space="preserve">Правильность сведений подтверждаю, даю согласие на обработку персональных данных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a"/>
          <w:sz w:val="24"/>
          <w:szCs w:val="24"/>
          <w:lang w:eastAsia="ru-RU"/>
        </w:rPr>
        <w:t xml:space="preserve">«____»_________________20___ г. Подпись ______________/_______________________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a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a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tbl>
      <w:tblPr>
        <w:tblW w:w="0" w:type="auto"/>
        <w:tblInd w:w="3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5"/>
        <w:gridCol w:w="5799"/>
      </w:tblGrid>
      <w:tr>
        <w:tblPrEx/>
        <w:trPr>
          <w:trHeight w:val="38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25" w:type="dxa"/>
            <w:textDirection w:val="lrTb"/>
            <w:noWrap w:val="false"/>
          </w:tcPr>
          <w:p>
            <w:pPr>
              <w:ind w:firstLine="567"/>
              <w:jc w:val="both"/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lef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799" w:type="dxa"/>
            <w:textDirection w:val="lrTb"/>
            <w:noWrap w:val="false"/>
          </w:tcPr>
          <w:p>
            <w:pPr>
              <w:ind w:firstLine="567"/>
              <w:jc w:val="both"/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выдать на руки в Администрации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82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25" w:type="dxa"/>
            <w:textDirection w:val="lrTb"/>
            <w:noWrap w:val="false"/>
          </w:tcPr>
          <w:p>
            <w:pPr>
              <w:ind w:firstLine="567"/>
              <w:jc w:val="both"/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lef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799" w:type="dxa"/>
            <w:textDirection w:val="lrTb"/>
            <w:noWrap w:val="false"/>
          </w:tcPr>
          <w:p>
            <w:pPr>
              <w:ind w:firstLine="567"/>
              <w:jc w:val="both"/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направить по почте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SimSun">
    <w:panose1 w:val="02020603020101020101"/>
  </w:font>
  <w:font w:name="Mangal">
    <w:panose1 w:val="02040503050406030204"/>
  </w:font>
  <w:font w:name="Times New Roman CYR"/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9"/>
    <w:next w:val="61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2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9"/>
    <w:next w:val="61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2"/>
    <w:link w:val="15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22"/>
    <w:link w:val="620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9"/>
    <w:next w:val="61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2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9"/>
    <w:next w:val="61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2"/>
    <w:link w:val="21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22"/>
    <w:link w:val="621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9"/>
    <w:next w:val="61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2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9"/>
    <w:next w:val="61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2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9"/>
    <w:next w:val="61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2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9"/>
    <w:next w:val="61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2"/>
    <w:link w:val="34"/>
    <w:uiPriority w:val="10"/>
    <w:rPr>
      <w:sz w:val="48"/>
      <w:szCs w:val="48"/>
    </w:rPr>
  </w:style>
  <w:style w:type="paragraph" w:styleId="36">
    <w:name w:val="Subtitle"/>
    <w:basedOn w:val="619"/>
    <w:next w:val="61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2"/>
    <w:link w:val="36"/>
    <w:uiPriority w:val="11"/>
    <w:rPr>
      <w:sz w:val="24"/>
      <w:szCs w:val="24"/>
    </w:rPr>
  </w:style>
  <w:style w:type="paragraph" w:styleId="38">
    <w:name w:val="Quote"/>
    <w:basedOn w:val="619"/>
    <w:next w:val="61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9"/>
    <w:next w:val="61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2"/>
    <w:link w:val="42"/>
    <w:uiPriority w:val="99"/>
  </w:style>
  <w:style w:type="paragraph" w:styleId="44">
    <w:name w:val="Footer"/>
    <w:basedOn w:val="61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2"/>
    <w:link w:val="44"/>
    <w:uiPriority w:val="99"/>
  </w:style>
  <w:style w:type="paragraph" w:styleId="46">
    <w:name w:val="Caption"/>
    <w:basedOn w:val="619"/>
    <w:next w:val="61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2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1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2"/>
    <w:uiPriority w:val="99"/>
    <w:unhideWhenUsed/>
    <w:rPr>
      <w:vertAlign w:val="superscript"/>
    </w:rPr>
  </w:style>
  <w:style w:type="paragraph" w:styleId="178">
    <w:name w:val="endnote text"/>
    <w:basedOn w:val="61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2"/>
    <w:uiPriority w:val="99"/>
    <w:semiHidden/>
    <w:unhideWhenUsed/>
    <w:rPr>
      <w:vertAlign w:val="superscript"/>
    </w:rPr>
  </w:style>
  <w:style w:type="paragraph" w:styleId="181">
    <w:name w:val="toc 1"/>
    <w:basedOn w:val="619"/>
    <w:next w:val="61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9"/>
    <w:next w:val="61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9"/>
    <w:next w:val="61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9"/>
    <w:next w:val="61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9"/>
    <w:next w:val="61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qFormat/>
  </w:style>
  <w:style w:type="paragraph" w:styleId="620">
    <w:name w:val="Heading 3"/>
    <w:basedOn w:val="619"/>
    <w:link w:val="625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paragraph" w:styleId="621">
    <w:name w:val="Heading 6"/>
    <w:basedOn w:val="619"/>
    <w:link w:val="626"/>
    <w:uiPriority w:val="9"/>
    <w:qFormat/>
    <w:pPr>
      <w:spacing w:before="100" w:beforeAutospacing="1" w:after="100" w:afterAutospacing="1" w:line="240" w:lineRule="auto"/>
      <w:outlineLvl w:val="5"/>
    </w:pPr>
    <w:rPr>
      <w:rFonts w:ascii="Times New Roman" w:hAnsi="Times New Roman" w:eastAsia="Times New Roman" w:cs="Times New Roman"/>
      <w:b/>
      <w:bCs/>
      <w:sz w:val="15"/>
      <w:szCs w:val="15"/>
      <w:lang w:eastAsia="ru-RU"/>
    </w:rPr>
  </w:style>
  <w:style w:type="character" w:styleId="622" w:default="1">
    <w:name w:val="Default Paragraph Font"/>
    <w:uiPriority w:val="1"/>
    <w:semiHidden/>
    <w:unhideWhenUsed/>
  </w:style>
  <w:style w:type="table" w:styleId="623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4" w:default="1">
    <w:name w:val="No List"/>
    <w:uiPriority w:val="99"/>
    <w:semiHidden/>
    <w:unhideWhenUsed/>
  </w:style>
  <w:style w:type="character" w:styleId="625" w:customStyle="1">
    <w:name w:val="Заголовок 3 Знак"/>
    <w:basedOn w:val="622"/>
    <w:link w:val="620"/>
    <w:uiPriority w:val="9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626" w:customStyle="1">
    <w:name w:val="Заголовок 6 Знак"/>
    <w:basedOn w:val="622"/>
    <w:link w:val="621"/>
    <w:uiPriority w:val="9"/>
    <w:rPr>
      <w:rFonts w:ascii="Times New Roman" w:hAnsi="Times New Roman" w:eastAsia="Times New Roman" w:cs="Times New Roman"/>
      <w:b/>
      <w:bCs/>
      <w:sz w:val="15"/>
      <w:szCs w:val="15"/>
      <w:lang w:eastAsia="ru-RU"/>
    </w:rPr>
  </w:style>
  <w:style w:type="paragraph" w:styleId="627">
    <w:name w:val="Normal (Web)"/>
    <w:basedOn w:val="619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28" w:customStyle="1">
    <w:name w:val="consplusnormal"/>
    <w:basedOn w:val="61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29">
    <w:name w:val="Hyperlink"/>
    <w:basedOn w:val="622"/>
    <w:uiPriority w:val="99"/>
    <w:unhideWhenUsed/>
    <w:rPr>
      <w:color w:val="0000ff"/>
      <w:u w:val="single"/>
    </w:rPr>
  </w:style>
  <w:style w:type="paragraph" w:styleId="630" w:customStyle="1">
    <w:name w:val="normalweb"/>
    <w:basedOn w:val="61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31" w:customStyle="1">
    <w:name w:val="bodytext2"/>
    <w:basedOn w:val="61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32" w:customStyle="1">
    <w:name w:val="default"/>
    <w:basedOn w:val="61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33" w:customStyle="1">
    <w:name w:val="bodytext3"/>
    <w:basedOn w:val="61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34" w:customStyle="1">
    <w:name w:val="western"/>
    <w:basedOn w:val="61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35" w:customStyle="1">
    <w:name w:val="consplusnonformat"/>
    <w:basedOn w:val="61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36" w:customStyle="1">
    <w:name w:val="List Paragraph"/>
    <w:basedOn w:val="61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37" w:customStyle="1">
    <w:name w:val="Нижний колонтитул1"/>
    <w:basedOn w:val="61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38" w:customStyle="1">
    <w:name w:val="Hyperlink"/>
    <w:basedOn w:val="622"/>
  </w:style>
  <w:style w:type="paragraph" w:styleId="639">
    <w:name w:val="No Spacing"/>
    <w:uiPriority w:val="1"/>
    <w:qFormat/>
    <w:pPr>
      <w:spacing w:after="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alibri" w:hAnsi="Calibri" w:eastAsia="Calibri" w:cs="Calibri"/>
    </w:rPr>
  </w:style>
  <w:style w:type="paragraph" w:styleId="640" w:customStyle="1">
    <w:name w:val="ConsPlusNormal"/>
    <w:uiPriority w:val="99"/>
    <w:qFormat/>
    <w:pPr>
      <w:spacing w:after="0" w:line="240" w:lineRule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alibri" w:hAnsi="Calibri" w:eastAsia="Times New Roman" w:cs="Calibri"/>
      <w:sz w:val="20"/>
      <w:szCs w:val="20"/>
      <w:lang w:eastAsia="ru-RU"/>
    </w:rPr>
  </w:style>
  <w:style w:type="paragraph" w:styleId="641">
    <w:name w:val="Body Text"/>
    <w:link w:val="642"/>
    <w:pPr>
      <w:spacing w:after="120" w:line="240" w:lineRule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 CYR" w:hAnsi="Times New Roman CYR" w:eastAsia="Times New Roman" w:cs="Times New Roman"/>
      <w:sz w:val="24"/>
      <w:szCs w:val="24"/>
      <w:lang w:val="en-US"/>
    </w:rPr>
  </w:style>
  <w:style w:type="character" w:styleId="642" w:customStyle="1">
    <w:name w:val="Основной текст Знак"/>
    <w:basedOn w:val="622"/>
    <w:link w:val="641"/>
    <w:rPr>
      <w:rFonts w:ascii="Times New Roman CYR" w:hAnsi="Times New Roman CYR" w:eastAsia="Times New Roman" w:cs="Times New Roman"/>
      <w:sz w:val="24"/>
      <w:szCs w:val="24"/>
      <w:lang w:val="en-US"/>
    </w:rPr>
  </w:style>
  <w:style w:type="paragraph" w:styleId="643" w:customStyle="1">
    <w:name w:val="нум список 1"/>
    <w:uiPriority w:val="99"/>
    <w:pPr>
      <w:jc w:val="both"/>
      <w:spacing w:before="120" w:after="120" w:line="360" w:lineRule="atLeast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SimSun" w:cs="Mangal"/>
      <w:color w:val="000000"/>
      <w:sz w:val="24"/>
      <w:lang w:eastAsia="zh-CN" w:bidi="hi-I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https://pravo-search.minjust.ru/bigs/showDocument.html?id=BBA0BFB1-06C7-4E50-A8D3-FE1045784BF1" TargetMode="External"/><Relationship Id="rId11" Type="http://schemas.openxmlformats.org/officeDocument/2006/relationships/hyperlink" Target="https://pravo-search.minjust.ru/bigs/showDocument.html?id=96E20C02-1B12-465A-B64C-24AA92270007" TargetMode="External"/><Relationship Id="rId12" Type="http://schemas.openxmlformats.org/officeDocument/2006/relationships/hyperlink" Target="https://pravo-search.minjust.ru/bigs/showDocument.html?id=1F171CB8-9CBD-4F99-B0D1-43240DFFD2BD" TargetMode="External"/><Relationship Id="rId13" Type="http://schemas.openxmlformats.org/officeDocument/2006/relationships/hyperlink" Target="https://pravo-search.minjust.ru/bigs/showDocument.html?id=E5D88D00-2FD9-4197-9A50-E65C38D10E36" TargetMode="External"/><Relationship Id="rId14" Type="http://schemas.openxmlformats.org/officeDocument/2006/relationships/hyperlink" Target="https://pravo-search.minjust.ru/bigs/showDocument.html?id=8FCB0ECE-7D45-4346-99CF-1DD7654B2F00" TargetMode="External"/><Relationship Id="rId15" Type="http://schemas.openxmlformats.org/officeDocument/2006/relationships/hyperlink" Target="http://www.gosuslugi.ru" TargetMode="External"/><Relationship Id="rId16" Type="http://schemas.openxmlformats.org/officeDocument/2006/relationships/hyperlink" Target="https://gosuslugi.pnzreg.ru" TargetMode="External"/><Relationship Id="rId17" Type="http://schemas.openxmlformats.org/officeDocument/2006/relationships/hyperlink" Target="https://pravo-search.minjust.ru/bigs/showDocument.html?id=BBA0BFB1-06C7-4E50-A8D3-FE1045784BF1" TargetMode="External"/><Relationship Id="rId18" Type="http://schemas.openxmlformats.org/officeDocument/2006/relationships/hyperlink" Target="consultantplus://offline/ref=A82F6BDF2C658880A497F5A9108C17A723541983DACF84305665B50536681C634858DB0286995B072A238D58174D12E66FC1DAFE1FAC86B341I8G" TargetMode="External"/><Relationship Id="rId19" Type="http://schemas.openxmlformats.org/officeDocument/2006/relationships/hyperlink" Target="consultantplus://offline/ref=A82F6BDF2C658880A497F5A9108C17A723541983DACF84305665B50536681C634858DB0286995B0520238D58174D12E66FC1DAFE1FAC86B341I8G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CF7041-6F72-4E32-82DC-DA4539C5D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Светлана Гурина</cp:lastModifiedBy>
  <cp:revision>3</cp:revision>
  <dcterms:created xsi:type="dcterms:W3CDTF">2025-04-11T06:29:00Z</dcterms:created>
  <dcterms:modified xsi:type="dcterms:W3CDTF">2025-04-15T11:36:32Z</dcterms:modified>
</cp:coreProperties>
</file>