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КОМИТЕТ МЕСТНОГО САМОУПРАВЛЕНИЯ ПЛЕССКОГО СЕЛЬСОВЕТА МОКШАНСКОГО РАЙОНА</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ПЕНЗЕНСКОЙ ОБЛАСТИ</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СЕДЬМОГО СОЗЫВА</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РЕШЕНИЕ</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от 28.10.2021 № 180-60/7</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с.Плесс</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Об утверждении Положения о </w:t>
      </w:r>
      <w:bookmarkStart w:id="0" w:name="_Hlk73706793"/>
      <w:r w:rsidRPr="002E5AA1">
        <w:rPr>
          <w:rFonts w:ascii="Arial" w:eastAsia="Times New Roman" w:hAnsi="Arial" w:cs="Arial"/>
          <w:b/>
          <w:bCs/>
          <w:color w:val="000000"/>
          <w:sz w:val="32"/>
          <w:szCs w:val="32"/>
          <w:lang w:eastAsia="ru-RU"/>
        </w:rPr>
        <w:t>муниципальном жилищном контроле </w:t>
      </w:r>
      <w:bookmarkEnd w:id="0"/>
      <w:r w:rsidRPr="002E5AA1">
        <w:rPr>
          <w:rFonts w:ascii="Arial" w:eastAsia="Times New Roman" w:hAnsi="Arial" w:cs="Arial"/>
          <w:b/>
          <w:bCs/>
          <w:color w:val="000000"/>
          <w:sz w:val="32"/>
          <w:szCs w:val="32"/>
          <w:lang w:eastAsia="ru-RU"/>
        </w:rPr>
        <w:t>на территории Плесского сельсовета Мокшанского района Пензенской области</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color w:val="000000"/>
          <w:sz w:val="28"/>
          <w:szCs w:val="28"/>
          <w:lang w:eastAsia="ru-RU"/>
        </w:rPr>
        <w:t>(в ред. решений Комитета местного самоуправления Плесского сельсовета Мокшанского района Пензенской области </w:t>
      </w:r>
      <w:hyperlink r:id="rId5" w:tgtFrame="_blank" w:history="1">
        <w:r w:rsidRPr="002E5AA1">
          <w:rPr>
            <w:rFonts w:ascii="Arial" w:eastAsia="Times New Roman" w:hAnsi="Arial" w:cs="Arial"/>
            <w:color w:val="0000FF"/>
            <w:sz w:val="28"/>
            <w:lang w:eastAsia="ru-RU"/>
          </w:rPr>
          <w:t>от 06.03.2023 № 293-98/7</w:t>
        </w:r>
      </w:hyperlink>
      <w:r w:rsidRPr="002E5AA1">
        <w:rPr>
          <w:rFonts w:ascii="Arial" w:eastAsia="Times New Roman" w:hAnsi="Arial" w:cs="Arial"/>
          <w:color w:val="0000FF"/>
          <w:sz w:val="28"/>
          <w:lang w:eastAsia="ru-RU"/>
        </w:rPr>
        <w:t>, </w:t>
      </w:r>
      <w:hyperlink r:id="rId6" w:tgtFrame="_blank" w:history="1">
        <w:r w:rsidRPr="002E5AA1">
          <w:rPr>
            <w:rFonts w:ascii="Arial" w:eastAsia="Times New Roman" w:hAnsi="Arial" w:cs="Arial"/>
            <w:color w:val="0000FF"/>
            <w:sz w:val="28"/>
            <w:lang w:eastAsia="ru-RU"/>
          </w:rPr>
          <w:t>от 11.07.2024 № 392-133/7</w:t>
        </w:r>
      </w:hyperlink>
      <w:r w:rsidRPr="002E5AA1">
        <w:rPr>
          <w:rFonts w:ascii="Arial" w:eastAsia="Times New Roman" w:hAnsi="Arial" w:cs="Arial"/>
          <w:color w:val="000000"/>
          <w:sz w:val="28"/>
          <w:szCs w:val="28"/>
          <w:lang w:eastAsia="ru-RU"/>
        </w:rPr>
        <w:t>)</w:t>
      </w:r>
    </w:p>
    <w:p w:rsidR="002E5AA1" w:rsidRPr="002E5AA1" w:rsidRDefault="002E5AA1" w:rsidP="002E5AA1">
      <w:pPr>
        <w:spacing w:before="240" w:after="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2"/>
          <w:szCs w:val="32"/>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 июля 2020 г. № 248-ФЗ «О государственном контроле (надзоре) и муниципальном контроле в Российской Федерации», </w:t>
      </w:r>
      <w:hyperlink r:id="rId7" w:tgtFrame="_blank" w:history="1">
        <w:r w:rsidRPr="002E5AA1">
          <w:rPr>
            <w:rFonts w:ascii="Arial" w:eastAsia="Times New Roman" w:hAnsi="Arial" w:cs="Arial"/>
            <w:color w:val="0000FF"/>
            <w:sz w:val="25"/>
            <w:lang w:eastAsia="ru-RU"/>
          </w:rPr>
          <w:t>Уставом Плесского сельсовета Мокшанского района Пензенской области</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Комитет местного самоуправления решил:</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Утвердить прилагаемое Положение о муниципальном жилищном контроле на территории Плесского сельсовета Мокшанского района Пензенской области.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2E5AA1" w:rsidRPr="002E5AA1" w:rsidRDefault="002E5AA1" w:rsidP="002E5AA1">
      <w:pPr>
        <w:spacing w:after="0" w:line="240" w:lineRule="auto"/>
        <w:ind w:firstLine="720"/>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8"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Опубликовать настоящее решение в информационном бюллетене «Вести Плесского сельсовета».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Настоящее решение вступает в силу на следующий день после его официального опубликования.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Контроль за исполнением решения оставляю за собой.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Глава Плесского сельсовета</w:t>
      </w:r>
    </w:p>
    <w:p w:rsidR="002E5AA1" w:rsidRPr="002E5AA1" w:rsidRDefault="002E5AA1" w:rsidP="002E5AA1">
      <w:pPr>
        <w:spacing w:after="0" w:line="240" w:lineRule="auto"/>
        <w:ind w:left="5102"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left="5102"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УТВЕРЖДЕНО</w:t>
      </w:r>
    </w:p>
    <w:p w:rsidR="002E5AA1" w:rsidRPr="002E5AA1" w:rsidRDefault="002E5AA1" w:rsidP="002E5AA1">
      <w:pPr>
        <w:spacing w:after="0" w:line="240" w:lineRule="auto"/>
        <w:ind w:left="510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решением Комитета местного самоуправления Плесского сельсовета</w:t>
      </w:r>
    </w:p>
    <w:p w:rsidR="002E5AA1" w:rsidRPr="002E5AA1" w:rsidRDefault="002E5AA1" w:rsidP="002E5AA1">
      <w:pPr>
        <w:spacing w:after="0" w:line="240" w:lineRule="auto"/>
        <w:ind w:left="510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Мокшанского района</w:t>
      </w:r>
    </w:p>
    <w:p w:rsidR="002E5AA1" w:rsidRPr="002E5AA1" w:rsidRDefault="002E5AA1" w:rsidP="002E5AA1">
      <w:pPr>
        <w:spacing w:after="0" w:line="240" w:lineRule="auto"/>
        <w:ind w:left="510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Пензенской области</w:t>
      </w:r>
    </w:p>
    <w:p w:rsidR="002E5AA1" w:rsidRPr="002E5AA1" w:rsidRDefault="002E5AA1" w:rsidP="002E5AA1">
      <w:pPr>
        <w:spacing w:after="0" w:line="240" w:lineRule="auto"/>
        <w:ind w:left="510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от 28.10.2021 № 180-60/7</w:t>
      </w:r>
      <w:bookmarkStart w:id="1" w:name="Par35"/>
      <w:bookmarkEnd w:id="1"/>
    </w:p>
    <w:p w:rsidR="002E5AA1" w:rsidRPr="002E5AA1" w:rsidRDefault="002E5AA1" w:rsidP="002E5AA1">
      <w:pPr>
        <w:spacing w:after="0" w:line="240" w:lineRule="auto"/>
        <w:ind w:firstLine="567"/>
        <w:jc w:val="both"/>
        <w:rPr>
          <w:rFonts w:ascii="Times New Roman" w:eastAsia="Times New Roman" w:hAnsi="Times New Roman" w:cs="Times New Roman"/>
          <w:b/>
          <w:bCs/>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center"/>
        <w:rPr>
          <w:rFonts w:ascii="Times New Roman" w:eastAsia="Times New Roman" w:hAnsi="Times New Roman" w:cs="Times New Roman"/>
          <w:b/>
          <w:bCs/>
          <w:color w:val="000000"/>
          <w:sz w:val="25"/>
          <w:szCs w:val="25"/>
          <w:lang w:eastAsia="ru-RU"/>
        </w:rPr>
      </w:pPr>
      <w:r w:rsidRPr="002E5AA1">
        <w:rPr>
          <w:rFonts w:ascii="Arial" w:eastAsia="Times New Roman" w:hAnsi="Arial" w:cs="Arial"/>
          <w:b/>
          <w:bCs/>
          <w:color w:val="000000"/>
          <w:sz w:val="32"/>
          <w:szCs w:val="32"/>
          <w:lang w:eastAsia="ru-RU"/>
        </w:rPr>
        <w:t>ПОЛОЖЕНИЕ</w:t>
      </w:r>
    </w:p>
    <w:p w:rsidR="002E5AA1" w:rsidRPr="002E5AA1" w:rsidRDefault="002E5AA1" w:rsidP="002E5AA1">
      <w:pPr>
        <w:spacing w:after="0" w:line="240" w:lineRule="auto"/>
        <w:ind w:firstLine="567"/>
        <w:jc w:val="center"/>
        <w:rPr>
          <w:rFonts w:ascii="Times New Roman" w:eastAsia="Times New Roman" w:hAnsi="Times New Roman" w:cs="Times New Roman"/>
          <w:b/>
          <w:bCs/>
          <w:color w:val="000000"/>
          <w:sz w:val="25"/>
          <w:szCs w:val="25"/>
          <w:lang w:eastAsia="ru-RU"/>
        </w:rPr>
      </w:pPr>
      <w:bookmarkStart w:id="2" w:name="_Hlk73456502"/>
      <w:r w:rsidRPr="002E5AA1">
        <w:rPr>
          <w:rFonts w:ascii="Arial" w:eastAsia="Times New Roman" w:hAnsi="Arial" w:cs="Arial"/>
          <w:b/>
          <w:bCs/>
          <w:color w:val="000000"/>
          <w:sz w:val="32"/>
          <w:szCs w:val="32"/>
          <w:lang w:eastAsia="ru-RU"/>
        </w:rPr>
        <w:t>о муниципальном жилищном контроле на территории</w:t>
      </w:r>
      <w:bookmarkEnd w:id="2"/>
    </w:p>
    <w:p w:rsidR="002E5AA1" w:rsidRPr="002E5AA1" w:rsidRDefault="002E5AA1" w:rsidP="002E5AA1">
      <w:pPr>
        <w:spacing w:after="0" w:line="240" w:lineRule="auto"/>
        <w:ind w:firstLine="567"/>
        <w:jc w:val="center"/>
        <w:rPr>
          <w:rFonts w:ascii="Times New Roman" w:eastAsia="Times New Roman" w:hAnsi="Times New Roman" w:cs="Times New Roman"/>
          <w:b/>
          <w:bCs/>
          <w:color w:val="000000"/>
          <w:sz w:val="25"/>
          <w:szCs w:val="25"/>
          <w:lang w:eastAsia="ru-RU"/>
        </w:rPr>
      </w:pPr>
      <w:r w:rsidRPr="002E5AA1">
        <w:rPr>
          <w:rFonts w:ascii="Arial" w:eastAsia="Times New Roman" w:hAnsi="Arial" w:cs="Arial"/>
          <w:b/>
          <w:bCs/>
          <w:color w:val="000000"/>
          <w:sz w:val="32"/>
          <w:szCs w:val="32"/>
          <w:lang w:eastAsia="ru-RU"/>
        </w:rPr>
        <w:t>Плесского сельсовета Мокшанского района Пензенской области</w:t>
      </w:r>
    </w:p>
    <w:p w:rsidR="002E5AA1" w:rsidRPr="002E5AA1" w:rsidRDefault="002E5AA1" w:rsidP="002E5AA1">
      <w:pPr>
        <w:spacing w:after="0" w:line="240" w:lineRule="auto"/>
        <w:ind w:firstLine="567"/>
        <w:jc w:val="both"/>
        <w:rPr>
          <w:rFonts w:ascii="Times New Roman" w:eastAsia="Times New Roman" w:hAnsi="Times New Roman" w:cs="Times New Roman"/>
          <w:b/>
          <w:bCs/>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center"/>
        <w:rPr>
          <w:rFonts w:ascii="Times New Roman" w:eastAsia="Times New Roman" w:hAnsi="Times New Roman" w:cs="Times New Roman"/>
          <w:color w:val="000000"/>
          <w:sz w:val="25"/>
          <w:szCs w:val="25"/>
          <w:lang w:eastAsia="ru-RU"/>
        </w:rPr>
      </w:pPr>
      <w:r w:rsidRPr="002E5AA1">
        <w:rPr>
          <w:rFonts w:ascii="Arial" w:eastAsia="Times New Roman" w:hAnsi="Arial" w:cs="Arial"/>
          <w:b/>
          <w:bCs/>
          <w:color w:val="000000"/>
          <w:sz w:val="30"/>
          <w:szCs w:val="30"/>
          <w:lang w:eastAsia="ru-RU"/>
        </w:rPr>
        <w:t>1.Общие положения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1.1. Настоящее Положение устанавливает порядок организации и осуществления муниципального жилищного контроля на территории Плесского</w:t>
      </w:r>
      <w:r w:rsidRPr="002E5AA1">
        <w:rPr>
          <w:rFonts w:ascii="Arial" w:eastAsia="Times New Roman" w:hAnsi="Arial" w:cs="Arial"/>
          <w:color w:val="000000"/>
          <w:spacing w:val="-2"/>
          <w:sz w:val="25"/>
          <w:szCs w:val="25"/>
          <w:lang w:eastAsia="ru-RU"/>
        </w:rPr>
        <w:t> сельсовета Мокшанского района Пензенской области </w:t>
      </w:r>
      <w:r w:rsidRPr="002E5AA1">
        <w:rPr>
          <w:rFonts w:ascii="Arial" w:eastAsia="Times New Roman" w:hAnsi="Arial" w:cs="Arial"/>
          <w:color w:val="000000"/>
          <w:sz w:val="25"/>
          <w:szCs w:val="25"/>
          <w:lang w:eastAsia="ru-RU"/>
        </w:rPr>
        <w:t>(далее – муниципальный контроль).</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требований 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использованию и сохранности жилищного фонда;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жилым помещениям, их использованию и содержанию;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использованию и содержанию общего имущества собственников помещений в многоквартирных домах;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порядку осуществления перевода жилого помещения в нежилое помещение и нежилого помещения в жилое в многоквартирном доме;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порядку осуществления перепланировки и (или) переустройства помещений в многоквартирном доме;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формированию фондов капитального ремонта;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предоставлению коммунальных услуг собственникам и пользователям помещений в многоквартирных домах и жилых домов;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обеспечению доступности для инвалидов помещений в многоквартирных домах;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предоставлению жилых помещений в наемных домах социального использования;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правил:</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содержания общего имущества в многоквартирном доме;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изменения размера платы за содержание жилого помещения;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Предметом муниципального контроля является также исполнение решений, принимаемых по результатам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1.3. Объектами муниципального контроля (далее – объект контроля) являются: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результаты деятельности контролируемых лиц, в том числе работы и услуги, к которым предъявляются обязательные требования;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1.4. Учет объектов контроля осуществляется посредством создания: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единого реестра контрольных мероприятий;</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информационной системы (подсистемы государственной информационной системы) досудебного обжалования;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иных государственных и муниципальных информационных систем путем межведомственного информационного взаимодействия.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1.5. Муниципальный контроль осуществляется администрацией Плесского сельсовета Мокшанского района Пензенской области (далее – Контрольный орган).</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Непосредственное осуществление муниципального контроля возлагается на специалиста Плесского сельсовета Мокшанского района Пензенской области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1.6. Руководство деятельностью по осуществлению муниципального контроля осуществляет глава администрации Плесского сельсовета Мокшанского района Пензенской области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1.7. От имени Контрольного органа муниципальный контроль вправе осуществлять следующие должностные лица: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руководитель (заместитель руководителя) Контрольного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1.8. Права и обязанности Инспектора: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1.8.1. Инспектор обязан:</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соблюдать законодательство Российской Федерации, права и законные интересы контролируемых лиц;</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w:t>
      </w:r>
      <w:r w:rsidRPr="002E5AA1">
        <w:rPr>
          <w:rFonts w:ascii="Arial" w:eastAsia="Times New Roman" w:hAnsi="Arial" w:cs="Arial"/>
          <w:color w:val="000000"/>
          <w:sz w:val="25"/>
          <w:szCs w:val="25"/>
          <w:lang w:eastAsia="ru-RU"/>
        </w:rPr>
        <w:lastRenderedPageBreak/>
        <w:t>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1.9. Контрольный орган вправе обратиться в суд с заявлениями: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6) о понуждении к исполнению предписания.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1.10. К отношениям, связанным с осуществлением муниципального контроля применяются положения Федерального закона.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9"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center"/>
        <w:rPr>
          <w:rFonts w:ascii="Times New Roman" w:eastAsia="Times New Roman" w:hAnsi="Times New Roman" w:cs="Times New Roman"/>
          <w:b/>
          <w:bCs/>
          <w:color w:val="000000"/>
          <w:sz w:val="25"/>
          <w:szCs w:val="25"/>
          <w:lang w:eastAsia="ru-RU"/>
        </w:rPr>
      </w:pPr>
      <w:r w:rsidRPr="002E5AA1">
        <w:rPr>
          <w:rFonts w:ascii="Arial" w:eastAsia="Times New Roman" w:hAnsi="Arial" w:cs="Arial"/>
          <w:b/>
          <w:bCs/>
          <w:color w:val="000000"/>
          <w:sz w:val="30"/>
          <w:szCs w:val="30"/>
          <w:lang w:eastAsia="ru-RU"/>
        </w:rPr>
        <w:t>2. Категории риска причинения вреда (ущерба)</w:t>
      </w:r>
    </w:p>
    <w:p w:rsidR="002E5AA1" w:rsidRPr="002E5AA1" w:rsidRDefault="002E5AA1" w:rsidP="002E5AA1">
      <w:pPr>
        <w:spacing w:after="0" w:line="240" w:lineRule="auto"/>
        <w:ind w:firstLine="567"/>
        <w:jc w:val="both"/>
        <w:rPr>
          <w:rFonts w:ascii="Times New Roman" w:eastAsia="Times New Roman" w:hAnsi="Times New Roman" w:cs="Times New Roman"/>
          <w:b/>
          <w:bCs/>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высокий риск;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средний риск;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умеренный риск;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низкий риск.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2.6. В случае если объект контроля не отнесен к определенной категории риска, он считается отнесенным к категории низкого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0"/>
          <w:szCs w:val="30"/>
          <w:lang w:eastAsia="ru-RU"/>
        </w:rPr>
        <w:t>3. Виды профилактических мероприятий, которые проводятся при осуществлении муниципального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осуществлении муниципального контроля Контрольный орган проводит следующие виды профилактических мероприятий: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1) информирование;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обобщение правоприменительной практики;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объявление предостережения;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 консультирование;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5) профилактический визит.</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3.1.2. Обобщение правоприменительной практики организации и проведения муниципального контроля осуществляется ежегодно.</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Контрольный орган обеспечивает публичное обсуждение проекта доклада.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0"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 Предостережение о недопустимости нарушения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обязательных требований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1"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3.2.4. Возражение должно содержать:</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наименование Контрольного органа, в который направляется возражение;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дату и номер предостережения;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доводы, на основании которых контролируемое лицо не согласно с объявленным предостережением;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 дату получения предостережения контролируемым лицом;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6) личную подпись и дату.</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3.2.7. По результатам рассмотрения возражения Контрольный орган принимает одно из следующих решений: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удовлетворяет возражение в форме отмены </w:t>
      </w:r>
      <w:r w:rsidRPr="002E5AA1">
        <w:rPr>
          <w:rFonts w:ascii="Arial" w:eastAsia="Times New Roman" w:hAnsi="Arial" w:cs="Arial"/>
          <w:strike/>
          <w:color w:val="000000"/>
          <w:sz w:val="25"/>
          <w:szCs w:val="25"/>
          <w:lang w:eastAsia="ru-RU"/>
        </w:rPr>
        <w:t>объявленного</w:t>
      </w:r>
      <w:r w:rsidRPr="002E5AA1">
        <w:rPr>
          <w:rFonts w:ascii="Arial" w:eastAsia="Times New Roman" w:hAnsi="Arial" w:cs="Arial"/>
          <w:color w:val="000000"/>
          <w:sz w:val="25"/>
          <w:szCs w:val="25"/>
          <w:lang w:eastAsia="ru-RU"/>
        </w:rPr>
        <w:t> предостережения;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отказывает в удовлетворении возражения с указанием причины отказа.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2"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3.2.9. Повторное направление возражения по тем же основаниям не допускается.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3.3. Консультирование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1) порядка проведения контрольных мероприятий;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периодичности проведения контрольных мероприятий;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порядка принятия решений по итогам контрольных мероприятий;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 порядка обжалования решений Контрольного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3.3.2. Инспекторы осуществляют консультирование контролируемых лиц и их представителей: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lastRenderedPageBreak/>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3.3.3. Индивидуальное консультирование на личном приеме каждого заявителя инспекторами не может превышать 10 минут.</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Время разговора по телефону не должно превышать 10 минут.</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3.3.5. Письменное консультирование контролируемых лиц и их представителей осуществляется по следующим вопросам:</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1) порядок обжалования решений Контрольного органа;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по вопросам, связанным с организацией и осуществлением муниципального жилищного контроля в том числе о местонахождении и графике работы органа контроля, реквизитах нормативно – правовых актах, регламентирующих осуществление муниципального жилищного контроля, о порядке и ходе осуществления муниципального жилищного контроля.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3.3.6. по итогам консультирования информация в письменной форме контролируемым лицам и их представителям не предоставляется.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3.3.7.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3.3.8. Контрольный орган осуществляет учет проведенных консультирований.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3.3.8. Время консультирования при личном обращении устанавливается руководителем контролирующего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(пункт 3.3.8. в ред. решения Комитета местного самоуправления Плесского сельсовета Мокшанского района Пензенской области </w:t>
      </w:r>
      <w:hyperlink r:id="rId13"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3.4. Профилактический визит</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Продолжительность профилактического визита составляет не более двух часов в течение рабочего дня.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3.4.2. Инспектор проводит обязательный профилактический визит в отношении: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3.4.3. Профилактические визиты проводятся по согласованию с контролируемыми лицами.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lastRenderedPageBreak/>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3.4.6.Контролируемое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4"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3.4.7.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5"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3.4.8.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а) от контролируемого лица поступило уведомление об отзыве заявления о проведении профилактического визита;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б)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г)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(пункт 3.4.8. в ред. решения Комитета местного самоуправления Плесского сельсовета Мокшанского района Пензенской области </w:t>
      </w:r>
      <w:hyperlink r:id="rId16"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3.4.9.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7"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3.4.6. Контрольный орган осуществляет учет проведенных профилактических визитов.</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(изменения в ред. решения Комитета местного самоуправления Плесского сельсовета Мокшанского района Пензенской области </w:t>
      </w:r>
      <w:hyperlink r:id="rId18" w:tgtFrame="_blank" w:history="1">
        <w:r w:rsidRPr="002E5AA1">
          <w:rPr>
            <w:rFonts w:ascii="Arial" w:eastAsia="Times New Roman" w:hAnsi="Arial" w:cs="Arial"/>
            <w:color w:val="0000FF"/>
            <w:sz w:val="25"/>
            <w:lang w:eastAsia="ru-RU"/>
          </w:rPr>
          <w:t>от 11.07.2024 № 392-133/7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0"/>
          <w:szCs w:val="30"/>
          <w:lang w:eastAsia="ru-RU"/>
        </w:rPr>
        <w:t>4. Контрольные мероприятия, проводимые в рамках муниципального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 Контрольные мероприятия. Общие вопросы</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2E5AA1">
        <w:rPr>
          <w:rFonts w:ascii="Arial" w:eastAsia="Times New Roman" w:hAnsi="Arial" w:cs="Arial"/>
          <w:b/>
          <w:bCs/>
          <w:color w:val="000000"/>
          <w:sz w:val="25"/>
          <w:szCs w:val="25"/>
          <w:lang w:eastAsia="ru-RU"/>
        </w:rPr>
        <w:t> </w:t>
      </w:r>
      <w:r w:rsidRPr="002E5AA1">
        <w:rPr>
          <w:rFonts w:ascii="Arial" w:eastAsia="Times New Roman" w:hAnsi="Arial" w:cs="Arial"/>
          <w:color w:val="000000"/>
          <w:sz w:val="25"/>
          <w:szCs w:val="25"/>
          <w:lang w:eastAsia="ru-RU"/>
        </w:rPr>
        <w:t>мероприятий: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инспекционный визит, документарная проверка, выездная проверка –при взаимодействии с контролируемыми лицами;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наблюдение за соблюдением обязательных требований, выездное обследование – без взаимодействия с контролируемыми лицами.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4.1.2. При осуществлении муниципального контроля</w:t>
      </w:r>
      <w:r w:rsidRPr="002E5AA1">
        <w:rPr>
          <w:rFonts w:ascii="Arial" w:eastAsia="Times New Roman" w:hAnsi="Arial" w:cs="Arial"/>
          <w:color w:val="FF0000"/>
          <w:sz w:val="25"/>
          <w:szCs w:val="25"/>
          <w:lang w:eastAsia="ru-RU"/>
        </w:rPr>
        <w:t> </w:t>
      </w:r>
      <w:r w:rsidRPr="002E5AA1">
        <w:rPr>
          <w:rFonts w:ascii="Arial" w:eastAsia="Times New Roman" w:hAnsi="Arial" w:cs="Arial"/>
          <w:color w:val="000000"/>
          <w:sz w:val="25"/>
          <w:szCs w:val="25"/>
          <w:lang w:eastAsia="ru-RU"/>
        </w:rPr>
        <w:t>взаимодействием с контролируемыми лицами являются: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запрос документов, иных материалов;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наступление сроков проведения контрольных мероприятий, включенных в план проведения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осмотр;</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опрос;</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получение письменных объяснений;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истребование документов;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экспертиза.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w:t>
      </w:r>
      <w:r w:rsidRPr="002E5AA1">
        <w:rPr>
          <w:rFonts w:ascii="Arial" w:eastAsia="Times New Roman" w:hAnsi="Arial" w:cs="Arial"/>
          <w:color w:val="000000"/>
          <w:sz w:val="25"/>
          <w:szCs w:val="25"/>
          <w:lang w:eastAsia="ru-RU"/>
        </w:rPr>
        <w:lastRenderedPageBreak/>
        <w:t>данного контрольного мероприятия, предусмотренного абзацем первым настоящего пункта Положения.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4.1.8. Документы, иные материалы, являющиеся доказательствами нарушения обязательных требований, приобщаются к акту.</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Заполненные при проведении контрольного мероприятия проверочные листы должны быть приобщены к акту.</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4.2. Меры, принимаемые Контрольным органом по результатам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w:t>
      </w:r>
      <w:r w:rsidRPr="002E5AA1">
        <w:rPr>
          <w:rFonts w:ascii="Arial" w:eastAsia="Times New Roman" w:hAnsi="Arial" w:cs="Arial"/>
          <w:color w:val="000000"/>
          <w:sz w:val="25"/>
          <w:szCs w:val="25"/>
          <w:lang w:eastAsia="ru-RU"/>
        </w:rPr>
        <w:lastRenderedPageBreak/>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4.2.5.</w:t>
      </w:r>
      <w:r w:rsidRPr="002E5AA1">
        <w:rPr>
          <w:rFonts w:ascii="Arial" w:eastAsia="Times New Roman" w:hAnsi="Arial" w:cs="Arial"/>
          <w:b/>
          <w:bCs/>
          <w:color w:val="FF0000"/>
          <w:sz w:val="25"/>
          <w:szCs w:val="25"/>
          <w:lang w:eastAsia="ru-RU"/>
        </w:rPr>
        <w:t> </w:t>
      </w:r>
      <w:r w:rsidRPr="002E5AA1">
        <w:rPr>
          <w:rFonts w:ascii="Arial" w:eastAsia="Times New Roman" w:hAnsi="Arial" w:cs="Arial"/>
          <w:color w:val="000000"/>
          <w:sz w:val="25"/>
          <w:szCs w:val="25"/>
          <w:lang w:eastAsia="ru-RU"/>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4.3. Плановые контрольные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4.3.3. Контрольный орган может проводить следующие виды плановых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инспекционный визит;</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документарная проверка;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выездная проверка.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отношении объектов, относящихся к категории значительного риска, проводятся: не менее 1 раза в 4 года и не более 1 раза в 2 года.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отношении объектов, относящихся к категории среднего риска, проводятся: не менее 1 раза в 6 лет и не более 1 раза в 3 года.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отношении объектов, относящихся к категории умеренного риска, проводятся: не менее 1 раза в 6 лет и не более 1 раза в 3 года.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4.3.4. Плановые контрольные мероприятия в отношении объектов контроля проводятся со следующей периодичностью:</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для категории высокого риска - один раз в 2 года;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для категории среднего риска - один раз в 3 года;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для категории умеренного риска - один раз в 5 лет;</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Плановые контрольные мероприятия в отношении объекта контроля, отнесенного к категории низкого риска, не проводятся.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4.4. Внеплановые контрольные мероприятия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4.5. Документарная проверка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4.5.3. Срок проведения документарной проверки не может превышать десять рабочих дней.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указанный срок не включается период с момента: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период с момента направления контролируемому лицу информации Контрольного органа: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 выявлении ошибок и (или) противоречий в представленных контролируемым лицом документах;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4.5.4 Перечень допустимых контрольных действий совершаемых в ходе документарной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bookmarkStart w:id="3" w:name="_Hlk73716001"/>
      <w:r w:rsidRPr="002E5AA1">
        <w:rPr>
          <w:rFonts w:ascii="Arial" w:eastAsia="Times New Roman" w:hAnsi="Arial" w:cs="Arial"/>
          <w:color w:val="000000"/>
          <w:sz w:val="25"/>
          <w:szCs w:val="25"/>
          <w:lang w:eastAsia="ru-RU"/>
        </w:rPr>
        <w:t>1) истребование документов;</w:t>
      </w:r>
      <w:bookmarkEnd w:id="3"/>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получение письменных объяснений;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экспертиза.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4.5.6. Письменные объяснения могут быть запрошены инспектором от контролируемого лица или его представителя, свидетелей.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Письменные объяснения оформляются путем составления письменного документа в свободной форме.</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4.5.7. Экспертиза осуществляется экспертом или экспертной организацией по поручению Контрольного органа.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lastRenderedPageBreak/>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Результаты экспертизы оформляются экспертным заключением по форме, утвержденной Контрольным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9"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4.5.8. Оформление акта производится по месту нахождения Контрольного органа в день окончания проведения документарной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4.5.10. Внеплановая документарная проверка проводится без согласования с органами прокуратуры.</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 Выездная проверка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4.6.2. Выездная проверка проводится в случае, если не представляется возможным:</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4.6.6. Срок проведения выездной проверки составляет не более десяти рабочих дней.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4.6.7. Перечень допустимых контрольных действий в ходе выездной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bookmarkStart w:id="4" w:name="_Hlk73715973"/>
      <w:r w:rsidRPr="002E5AA1">
        <w:rPr>
          <w:rFonts w:ascii="Arial" w:eastAsia="Times New Roman" w:hAnsi="Arial" w:cs="Arial"/>
          <w:color w:val="000000"/>
          <w:sz w:val="25"/>
          <w:szCs w:val="25"/>
          <w:lang w:eastAsia="ru-RU"/>
        </w:rPr>
        <w:lastRenderedPageBreak/>
        <w:t>1) осмотр;</w:t>
      </w:r>
      <w:bookmarkEnd w:id="4"/>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опрос;</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истребование документов;</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 получение письменных объяснений;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5) экспертиза.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По результатам осмотра составляется протокол осмотра.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4.6.12. По окончании проведения выездной проверки инспектор составляет акт выездной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Информация о проведении фотосъемки, аудио- и видеозаписи отражается в акте проверки.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временной нетрудоспособности;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2) необходимости явки по вызову (извещениям, повесткам) судов, правоохранительных органов, военных комиссариатов;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нахождения в служебной командировке.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4.7. Инспекционный визит</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4.7.2. Перечень допустимых контрольных действий в ходе инспекционного визита: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bookmarkStart w:id="5" w:name="_Hlk73715943"/>
      <w:r w:rsidRPr="002E5AA1">
        <w:rPr>
          <w:rFonts w:ascii="Arial" w:eastAsia="Times New Roman" w:hAnsi="Arial" w:cs="Arial"/>
          <w:color w:val="000000"/>
          <w:sz w:val="25"/>
          <w:szCs w:val="25"/>
          <w:lang w:eastAsia="ru-RU"/>
        </w:rPr>
        <w:t>а) осмотр;</w:t>
      </w:r>
      <w:bookmarkEnd w:id="5"/>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б) опрос;</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получение письменных объяснений;</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4.7.9.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4.8. Наблюдение за соблюдением обязательных требований (мониторинг безопасности)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w:t>
      </w:r>
      <w:r w:rsidRPr="002E5AA1">
        <w:rPr>
          <w:rFonts w:ascii="Arial" w:eastAsia="Times New Roman" w:hAnsi="Arial" w:cs="Arial"/>
          <w:color w:val="000000"/>
          <w:sz w:val="25"/>
          <w:szCs w:val="25"/>
          <w:lang w:eastAsia="ru-RU"/>
        </w:rPr>
        <w:lastRenderedPageBreak/>
        <w:t>обязательных требований или признаках нарушений обязательных требований, Контрольным органом могут быть приняты следующие решения: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2) решение об объявлении предостережения;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4.9. Выездное обследование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4.9.1. Выездное обследование проводится в целях оценки соблюдения контролируемыми лицами обязательных требований.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4.9.3. Выездное обследование проводится без информирования контролируемого лица.</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E5AA1" w:rsidRPr="002E5AA1" w:rsidRDefault="002E5AA1" w:rsidP="002E5AA1">
      <w:pPr>
        <w:spacing w:after="0" w:line="240" w:lineRule="auto"/>
        <w:ind w:firstLine="592"/>
        <w:jc w:val="both"/>
        <w:rPr>
          <w:rFonts w:ascii="Courier New" w:eastAsia="Times New Roman" w:hAnsi="Courier New" w:cs="Courier New"/>
          <w:color w:val="000000"/>
          <w:sz w:val="25"/>
          <w:szCs w:val="25"/>
          <w:lang w:eastAsia="ru-RU"/>
        </w:rPr>
      </w:pPr>
      <w:r w:rsidRPr="002E5AA1">
        <w:rPr>
          <w:rFonts w:ascii="Arial" w:eastAsia="Times New Roman" w:hAnsi="Arial" w:cs="Arial"/>
          <w:color w:val="000000"/>
          <w:sz w:val="25"/>
          <w:szCs w:val="25"/>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b/>
          <w:bCs/>
          <w:color w:val="000000"/>
          <w:sz w:val="25"/>
          <w:szCs w:val="25"/>
          <w:lang w:eastAsia="ru-RU"/>
        </w:rPr>
        <w:t> </w:t>
      </w:r>
    </w:p>
    <w:p w:rsidR="002E5AA1" w:rsidRPr="002E5AA1" w:rsidRDefault="002E5AA1" w:rsidP="002E5AA1">
      <w:pPr>
        <w:spacing w:after="0" w:line="240" w:lineRule="auto"/>
        <w:ind w:firstLine="567"/>
        <w:jc w:val="center"/>
        <w:rPr>
          <w:rFonts w:ascii="Times New Roman" w:eastAsia="Times New Roman" w:hAnsi="Times New Roman" w:cs="Times New Roman"/>
          <w:color w:val="000000"/>
          <w:sz w:val="25"/>
          <w:szCs w:val="25"/>
          <w:lang w:eastAsia="ru-RU"/>
        </w:rPr>
      </w:pPr>
      <w:r w:rsidRPr="002E5AA1">
        <w:rPr>
          <w:rFonts w:ascii="Arial" w:eastAsia="Times New Roman" w:hAnsi="Arial" w:cs="Arial"/>
          <w:b/>
          <w:bCs/>
          <w:color w:val="000000"/>
          <w:sz w:val="30"/>
          <w:szCs w:val="30"/>
          <w:lang w:eastAsia="ru-RU"/>
        </w:rPr>
        <w:t>5. Досудебное обжалование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Pr="002E5AA1">
        <w:rPr>
          <w:rFonts w:ascii="Arial" w:eastAsia="Times New Roman" w:hAnsi="Arial" w:cs="Arial"/>
          <w:color w:val="FF0000"/>
          <w:sz w:val="25"/>
          <w:szCs w:val="25"/>
          <w:lang w:eastAsia="ru-RU"/>
        </w:rPr>
        <w:t>.</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20" w:tgtFrame="_blank" w:history="1">
        <w:r w:rsidRPr="002E5AA1">
          <w:rPr>
            <w:rFonts w:ascii="Arial" w:eastAsia="Times New Roman" w:hAnsi="Arial" w:cs="Arial"/>
            <w:color w:val="0000FF"/>
            <w:sz w:val="25"/>
            <w:lang w:eastAsia="ru-RU"/>
          </w:rPr>
          <w:t>от 06.03.2023 № 293-98/7</w:t>
        </w:r>
      </w:hyperlink>
      <w:r w:rsidRPr="002E5AA1">
        <w:rPr>
          <w:rFonts w:ascii="Arial" w:eastAsia="Times New Roman" w:hAnsi="Arial" w:cs="Arial"/>
          <w:color w:val="000000"/>
          <w:sz w:val="25"/>
          <w:szCs w:val="25"/>
          <w:lang w:eastAsia="ru-RU"/>
        </w:rPr>
        <w:t>)</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6. Ключевые показатели вида контроля и их целевые значения для муниципального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b/>
          <w:bCs/>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Ключевые показатели муниципального контроля </w:t>
      </w:r>
      <w:bookmarkStart w:id="6" w:name="_Hlk73956884"/>
      <w:r w:rsidRPr="002E5AA1">
        <w:rPr>
          <w:rFonts w:ascii="Arial" w:eastAsia="Times New Roman" w:hAnsi="Arial" w:cs="Arial"/>
          <w:color w:val="000000"/>
          <w:sz w:val="25"/>
          <w:szCs w:val="25"/>
          <w:lang w:eastAsia="ru-RU"/>
        </w:rPr>
        <w:t>и их целевые значения, индикативные показатели</w:t>
      </w:r>
      <w:bookmarkEnd w:id="6"/>
      <w:r w:rsidRPr="002E5AA1">
        <w:rPr>
          <w:rFonts w:ascii="Arial" w:eastAsia="Times New Roman" w:hAnsi="Arial" w:cs="Arial"/>
          <w:color w:val="000000"/>
          <w:sz w:val="25"/>
          <w:szCs w:val="25"/>
          <w:lang w:eastAsia="ru-RU"/>
        </w:rPr>
        <w:t> установлены приложением 4 к настоящему Положению.</w:t>
      </w:r>
    </w:p>
    <w:p w:rsidR="002E5AA1" w:rsidRPr="002E5AA1" w:rsidRDefault="002E5AA1" w:rsidP="002E5AA1">
      <w:pPr>
        <w:spacing w:after="0" w:line="240" w:lineRule="auto"/>
        <w:ind w:left="4536"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Приложение 1</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Положению о муниципальном</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жилищном контроле на территории Плесского сельсовета Мокшанского района Пензенской области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Перечень должностных лиц </w:t>
      </w:r>
      <w:r w:rsidRPr="002E5AA1">
        <w:rPr>
          <w:rFonts w:ascii="Arial" w:eastAsia="Times New Roman" w:hAnsi="Arial" w:cs="Arial"/>
          <w:color w:val="000000"/>
          <w:spacing w:val="-2"/>
          <w:sz w:val="25"/>
          <w:szCs w:val="25"/>
          <w:lang w:eastAsia="ru-RU"/>
        </w:rPr>
        <w:t>Плесского сельсовета Мокшанского района Пензенской области</w:t>
      </w:r>
      <w:r w:rsidRPr="002E5AA1">
        <w:rPr>
          <w:rFonts w:ascii="Arial" w:eastAsia="Times New Roman" w:hAnsi="Arial" w:cs="Arial"/>
          <w:color w:val="000000"/>
          <w:sz w:val="25"/>
          <w:szCs w:val="25"/>
          <w:lang w:eastAsia="ru-RU"/>
        </w:rPr>
        <w:t>, уполномоченных на осуществление муниципального жилищного контроля</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1. И. о главы администрации Плесского сельсовета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Мокшанского района Пензенской области; - Е.М.Чижикова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2. Ведущий специалист администрации Плесского</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сельсовета Мокшанского района Пензенской области; - Т.Н.Панина</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3. Ведущий специалист администрации Плесского</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сельсовета Мокшанского района Пензенской области; - Е.А.Барыкина</w:t>
      </w:r>
    </w:p>
    <w:p w:rsidR="002E5AA1" w:rsidRPr="002E5AA1" w:rsidRDefault="002E5AA1" w:rsidP="002E5AA1">
      <w:pPr>
        <w:spacing w:after="0" w:line="240" w:lineRule="auto"/>
        <w:ind w:left="4535"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left="4535"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Приложение 2</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Положению о муниципальном</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жилищном контроле на территории Плесского сельсовета Мокшанского района Пензенской области</w:t>
      </w:r>
    </w:p>
    <w:p w:rsidR="002E5AA1" w:rsidRPr="002E5AA1" w:rsidRDefault="002E5AA1" w:rsidP="002E5AA1">
      <w:pPr>
        <w:spacing w:after="0" w:line="240" w:lineRule="auto"/>
        <w:ind w:left="4535"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0"/>
          <w:szCs w:val="30"/>
          <w:lang w:eastAsia="ru-RU"/>
        </w:rPr>
        <w:t>Критерии отнесения объектов контроля к категориям риска в рамках осуществления муниципального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1. Отнесение объектов контроля</w:t>
      </w:r>
      <w:r w:rsidRPr="002E5AA1">
        <w:rPr>
          <w:rFonts w:ascii="Arial" w:eastAsia="Times New Roman" w:hAnsi="Arial" w:cs="Arial"/>
          <w:color w:val="00B0F0"/>
          <w:sz w:val="25"/>
          <w:szCs w:val="25"/>
          <w:lang w:eastAsia="ru-RU"/>
        </w:rPr>
        <w:t> </w:t>
      </w:r>
      <w:r w:rsidRPr="002E5AA1">
        <w:rPr>
          <w:rFonts w:ascii="Arial" w:eastAsia="Times New Roman" w:hAnsi="Arial" w:cs="Arial"/>
          <w:color w:val="000000"/>
          <w:sz w:val="25"/>
          <w:szCs w:val="25"/>
          <w:lang w:eastAsia="ru-RU"/>
        </w:rPr>
        <w:t>к определенной категории риска осуществляется в зависимости от значения показателя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значении показателя риска более 6 объект контроля относится к категории высокого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значении показателя риска от 4 до 6 включительно - к категории среднего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значении показателя риска от 2 до 3 включительно - к категории умеренного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при значении показателя риска от 0 до 1 включительно - к категории низкого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2. Показатель риска рассчитывается по следующей формуле: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 2 x V</w:t>
      </w:r>
      <w:r w:rsidRPr="002E5AA1">
        <w:rPr>
          <w:rFonts w:ascii="Arial" w:eastAsia="Times New Roman" w:hAnsi="Arial" w:cs="Arial"/>
          <w:color w:val="000000"/>
          <w:sz w:val="16"/>
          <w:szCs w:val="16"/>
          <w:vertAlign w:val="subscript"/>
          <w:lang w:eastAsia="ru-RU"/>
        </w:rPr>
        <w:t>1</w:t>
      </w:r>
      <w:r w:rsidRPr="002E5AA1">
        <w:rPr>
          <w:rFonts w:ascii="Arial" w:eastAsia="Times New Roman" w:hAnsi="Arial" w:cs="Arial"/>
          <w:color w:val="000000"/>
          <w:sz w:val="25"/>
          <w:szCs w:val="25"/>
          <w:lang w:eastAsia="ru-RU"/>
        </w:rPr>
        <w:t> + V</w:t>
      </w:r>
      <w:r w:rsidRPr="002E5AA1">
        <w:rPr>
          <w:rFonts w:ascii="Arial" w:eastAsia="Times New Roman" w:hAnsi="Arial" w:cs="Arial"/>
          <w:color w:val="000000"/>
          <w:sz w:val="16"/>
          <w:szCs w:val="16"/>
          <w:vertAlign w:val="subscript"/>
          <w:lang w:eastAsia="ru-RU"/>
        </w:rPr>
        <w:t>2</w:t>
      </w:r>
      <w:r w:rsidRPr="002E5AA1">
        <w:rPr>
          <w:rFonts w:ascii="Arial" w:eastAsia="Times New Roman" w:hAnsi="Arial" w:cs="Arial"/>
          <w:color w:val="000000"/>
          <w:sz w:val="25"/>
          <w:szCs w:val="25"/>
          <w:lang w:eastAsia="ru-RU"/>
        </w:rPr>
        <w:t> + 2 x V</w:t>
      </w:r>
      <w:r w:rsidRPr="002E5AA1">
        <w:rPr>
          <w:rFonts w:ascii="Arial" w:eastAsia="Times New Roman" w:hAnsi="Arial" w:cs="Arial"/>
          <w:color w:val="000000"/>
          <w:sz w:val="16"/>
          <w:szCs w:val="16"/>
          <w:vertAlign w:val="subscript"/>
          <w:lang w:eastAsia="ru-RU"/>
        </w:rPr>
        <w:t>3</w:t>
      </w:r>
      <w:r w:rsidRPr="002E5AA1">
        <w:rPr>
          <w:rFonts w:ascii="Arial" w:eastAsia="Times New Roman" w:hAnsi="Arial" w:cs="Arial"/>
          <w:color w:val="000000"/>
          <w:sz w:val="25"/>
          <w:szCs w:val="25"/>
          <w:lang w:eastAsia="ru-RU"/>
        </w:rPr>
        <w:t>, где: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 показатель риска;</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V</w:t>
      </w:r>
      <w:r w:rsidRPr="002E5AA1">
        <w:rPr>
          <w:rFonts w:ascii="Arial" w:eastAsia="Times New Roman" w:hAnsi="Arial" w:cs="Arial"/>
          <w:color w:val="000000"/>
          <w:sz w:val="16"/>
          <w:szCs w:val="16"/>
          <w:vertAlign w:val="subscript"/>
          <w:lang w:eastAsia="ru-RU"/>
        </w:rPr>
        <w:t>1</w:t>
      </w:r>
      <w:r w:rsidRPr="002E5AA1">
        <w:rPr>
          <w:rFonts w:ascii="Arial" w:eastAsia="Times New Roman" w:hAnsi="Arial" w:cs="Arial"/>
          <w:color w:val="000000"/>
          <w:sz w:val="25"/>
          <w:szCs w:val="25"/>
          <w:lang w:eastAsia="ru-RU"/>
        </w:rPr>
        <w:t>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V</w:t>
      </w:r>
      <w:r w:rsidRPr="002E5AA1">
        <w:rPr>
          <w:rFonts w:ascii="Arial" w:eastAsia="Times New Roman" w:hAnsi="Arial" w:cs="Arial"/>
          <w:color w:val="000000"/>
          <w:sz w:val="16"/>
          <w:szCs w:val="16"/>
          <w:vertAlign w:val="subscript"/>
          <w:lang w:eastAsia="ru-RU"/>
        </w:rPr>
        <w:t>2</w:t>
      </w:r>
      <w:r w:rsidRPr="002E5AA1">
        <w:rPr>
          <w:rFonts w:ascii="Arial" w:eastAsia="Times New Roman" w:hAnsi="Arial" w:cs="Arial"/>
          <w:color w:val="000000"/>
          <w:sz w:val="25"/>
          <w:szCs w:val="25"/>
          <w:lang w:eastAsia="ru-RU"/>
        </w:rPr>
        <w:t>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lastRenderedPageBreak/>
        <w:t>V</w:t>
      </w:r>
      <w:r w:rsidRPr="002E5AA1">
        <w:rPr>
          <w:rFonts w:ascii="Arial" w:eastAsia="Times New Roman" w:hAnsi="Arial" w:cs="Arial"/>
          <w:color w:val="000000"/>
          <w:sz w:val="16"/>
          <w:szCs w:val="16"/>
          <w:vertAlign w:val="subscript"/>
          <w:lang w:eastAsia="ru-RU"/>
        </w:rPr>
        <w:t>3</w:t>
      </w:r>
      <w:r w:rsidRPr="002E5AA1">
        <w:rPr>
          <w:rFonts w:ascii="Arial" w:eastAsia="Times New Roman" w:hAnsi="Arial" w:cs="Arial"/>
          <w:color w:val="000000"/>
          <w:sz w:val="25"/>
          <w:szCs w:val="25"/>
          <w:lang w:eastAsia="ru-RU"/>
        </w:rPr>
        <w:t>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2E5AA1" w:rsidRPr="002E5AA1" w:rsidRDefault="002E5AA1" w:rsidP="002E5AA1">
      <w:pPr>
        <w:spacing w:after="0" w:line="240" w:lineRule="auto"/>
        <w:ind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Приложение 3</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Положению о муниципальном</w:t>
      </w:r>
    </w:p>
    <w:p w:rsidR="002E5AA1" w:rsidRPr="002E5AA1" w:rsidRDefault="002E5AA1" w:rsidP="002E5AA1">
      <w:pPr>
        <w:spacing w:after="0" w:line="240" w:lineRule="auto"/>
        <w:ind w:left="4536"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жилищном контроле на территории Плесского сельсовета Мокшанского района Пензенской области</w:t>
      </w:r>
    </w:p>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0"/>
          <w:szCs w:val="30"/>
          <w:lang w:eastAsia="ru-RU"/>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а) порядку осуществления перевода жилого помещения в нежилое помещение и нежилого помещения в жилое в многоквартирном доме;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б) порядку осуществления перепланировки и (или) переустройства помещений в многоквартирном доме;</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в) к предоставлению коммунальных услуг собственникам и пользователям помещений в многоквартирных домах и жилых домов;</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г) к обеспечению доступности для инвалидов помещений в многоквартирных домах;</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е) к обеспечению безопасности при использовании и содержании внутридомового и внутриквартирного газового оборудования.</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 xml:space="preserve">2. 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w:t>
      </w:r>
      <w:r w:rsidRPr="002E5AA1">
        <w:rPr>
          <w:rFonts w:ascii="Arial" w:eastAsia="Times New Roman" w:hAnsi="Arial" w:cs="Arial"/>
          <w:color w:val="000000"/>
          <w:sz w:val="25"/>
          <w:szCs w:val="25"/>
          <w:lang w:eastAsia="ru-RU"/>
        </w:rPr>
        <w:lastRenderedPageBreak/>
        <w:t>объявлялись предостережения о недопустимости нарушения аналогичных обязательных требований.</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2E5AA1" w:rsidRPr="002E5AA1" w:rsidRDefault="002E5AA1" w:rsidP="002E5AA1">
      <w:pPr>
        <w:spacing w:after="0" w:line="240" w:lineRule="auto"/>
        <w:ind w:left="3827" w:firstLine="567"/>
        <w:jc w:val="both"/>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 </w:t>
      </w:r>
    </w:p>
    <w:p w:rsidR="002E5AA1" w:rsidRPr="002E5AA1" w:rsidRDefault="002E5AA1" w:rsidP="002E5AA1">
      <w:pPr>
        <w:spacing w:after="0" w:line="240" w:lineRule="auto"/>
        <w:ind w:left="9923" w:firstLine="567"/>
        <w:jc w:val="right"/>
        <w:rPr>
          <w:rFonts w:ascii="Times New Roman" w:eastAsia="Times New Roman" w:hAnsi="Times New Roman" w:cs="Times New Roman"/>
          <w:color w:val="000000"/>
          <w:sz w:val="25"/>
          <w:szCs w:val="25"/>
          <w:lang w:eastAsia="ru-RU"/>
        </w:rPr>
      </w:pPr>
      <w:r w:rsidRPr="002E5AA1">
        <w:rPr>
          <w:rFonts w:ascii="Arial" w:eastAsia="Times New Roman" w:hAnsi="Arial" w:cs="Arial"/>
          <w:color w:val="000000"/>
          <w:sz w:val="25"/>
          <w:szCs w:val="25"/>
          <w:lang w:eastAsia="ru-RU"/>
        </w:rPr>
        <w:t>Приложение 4</w:t>
      </w:r>
    </w:p>
    <w:p w:rsidR="002E5AA1" w:rsidRPr="002E5AA1" w:rsidRDefault="002E5AA1" w:rsidP="002E5AA1">
      <w:pPr>
        <w:spacing w:after="0" w:line="240" w:lineRule="auto"/>
        <w:ind w:left="992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к Положению о муниципальном</w:t>
      </w:r>
    </w:p>
    <w:p w:rsidR="002E5AA1" w:rsidRPr="002E5AA1" w:rsidRDefault="002E5AA1" w:rsidP="002E5AA1">
      <w:pPr>
        <w:spacing w:after="0" w:line="240" w:lineRule="auto"/>
        <w:ind w:left="992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жилищном конт</w:t>
      </w:r>
      <w:r w:rsidRPr="002E5AA1">
        <w:rPr>
          <w:rFonts w:ascii="Arial" w:eastAsia="Times New Roman" w:hAnsi="Arial" w:cs="Arial"/>
          <w:color w:val="000000"/>
          <w:sz w:val="25"/>
          <w:szCs w:val="25"/>
          <w:lang w:eastAsia="ru-RU"/>
        </w:rPr>
        <w:lastRenderedPageBreak/>
        <w:t>роле на территории</w:t>
      </w:r>
    </w:p>
    <w:p w:rsidR="002E5AA1" w:rsidRPr="002E5AA1" w:rsidRDefault="002E5AA1" w:rsidP="002E5AA1">
      <w:pPr>
        <w:spacing w:after="0" w:line="240" w:lineRule="auto"/>
        <w:ind w:left="9923" w:firstLine="592"/>
        <w:jc w:val="right"/>
        <w:rPr>
          <w:rFonts w:ascii="Arial" w:eastAsia="Times New Roman" w:hAnsi="Arial" w:cs="Arial"/>
          <w:color w:val="000000"/>
          <w:sz w:val="25"/>
          <w:szCs w:val="25"/>
          <w:lang w:eastAsia="ru-RU"/>
        </w:rPr>
      </w:pPr>
      <w:r w:rsidRPr="002E5AA1">
        <w:rPr>
          <w:rFonts w:ascii="Arial" w:eastAsia="Times New Roman" w:hAnsi="Arial" w:cs="Arial"/>
          <w:color w:val="000000"/>
          <w:sz w:val="25"/>
          <w:szCs w:val="25"/>
          <w:lang w:eastAsia="ru-RU"/>
        </w:rPr>
        <w:t>Плесского сельсовета Мокшанского района Пензенской области</w:t>
      </w:r>
    </w:p>
    <w:p w:rsidR="002E5AA1" w:rsidRPr="002E5AA1" w:rsidRDefault="002E5AA1" w:rsidP="002E5AA1">
      <w:pPr>
        <w:spacing w:after="0" w:line="240" w:lineRule="auto"/>
        <w:ind w:firstLine="592"/>
        <w:jc w:val="both"/>
        <w:rPr>
          <w:rFonts w:ascii="Arial" w:eastAsia="Times New Roman" w:hAnsi="Arial" w:cs="Arial"/>
          <w:color w:val="000000"/>
          <w:sz w:val="25"/>
          <w:szCs w:val="25"/>
          <w:lang w:eastAsia="ru-RU"/>
        </w:rPr>
      </w:pPr>
      <w:r w:rsidRPr="002E5AA1">
        <w:rPr>
          <w:rFonts w:ascii="Arial" w:eastAsia="Times New Roman" w:hAnsi="Arial" w:cs="Arial"/>
          <w:b/>
          <w:bCs/>
          <w:color w:val="000000"/>
          <w:sz w:val="25"/>
          <w:szCs w:val="25"/>
          <w:lang w:eastAsia="ru-RU"/>
        </w:rPr>
        <w:t> </w:t>
      </w:r>
    </w:p>
    <w:p w:rsidR="002E5AA1" w:rsidRPr="002E5AA1" w:rsidRDefault="002E5AA1" w:rsidP="002E5AA1">
      <w:pPr>
        <w:spacing w:after="360" w:line="240" w:lineRule="auto"/>
        <w:ind w:firstLine="592"/>
        <w:jc w:val="center"/>
        <w:rPr>
          <w:rFonts w:ascii="Arial" w:eastAsia="Times New Roman" w:hAnsi="Arial" w:cs="Arial"/>
          <w:color w:val="000000"/>
          <w:sz w:val="25"/>
          <w:szCs w:val="25"/>
          <w:lang w:eastAsia="ru-RU"/>
        </w:rPr>
      </w:pPr>
      <w:r w:rsidRPr="002E5AA1">
        <w:rPr>
          <w:rFonts w:ascii="Arial" w:eastAsia="Times New Roman" w:hAnsi="Arial" w:cs="Arial"/>
          <w:b/>
          <w:bCs/>
          <w:color w:val="000000"/>
          <w:sz w:val="30"/>
          <w:szCs w:val="30"/>
          <w:lang w:eastAsia="ru-RU"/>
        </w:rPr>
        <w:t>Перечень показателей результативности и эффективности муниципального жилищного контроля</w:t>
      </w:r>
    </w:p>
    <w:tbl>
      <w:tblPr>
        <w:tblW w:w="0" w:type="auto"/>
        <w:jc w:val="center"/>
        <w:tblCellMar>
          <w:left w:w="0" w:type="dxa"/>
          <w:right w:w="0" w:type="dxa"/>
        </w:tblCellMar>
        <w:tblLook w:val="04A0"/>
      </w:tblPr>
      <w:tblGrid>
        <w:gridCol w:w="576"/>
        <w:gridCol w:w="866"/>
        <w:gridCol w:w="737"/>
        <w:gridCol w:w="1171"/>
        <w:gridCol w:w="575"/>
        <w:gridCol w:w="737"/>
        <w:gridCol w:w="390"/>
        <w:gridCol w:w="390"/>
        <w:gridCol w:w="274"/>
        <w:gridCol w:w="265"/>
        <w:gridCol w:w="252"/>
        <w:gridCol w:w="251"/>
        <w:gridCol w:w="242"/>
        <w:gridCol w:w="236"/>
        <w:gridCol w:w="231"/>
        <w:gridCol w:w="349"/>
        <w:gridCol w:w="335"/>
        <w:gridCol w:w="324"/>
        <w:gridCol w:w="722"/>
        <w:gridCol w:w="216"/>
        <w:gridCol w:w="216"/>
        <w:gridCol w:w="216"/>
        <w:gridCol w:w="216"/>
        <w:gridCol w:w="216"/>
        <w:gridCol w:w="419"/>
      </w:tblGrid>
      <w:tr w:rsidR="002E5AA1" w:rsidRPr="002E5AA1" w:rsidTr="002E5AA1">
        <w:trPr>
          <w:jc w:val="center"/>
        </w:trPr>
        <w:tc>
          <w:tcPr>
            <w:tcW w:w="13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Номер показателя</w:t>
            </w:r>
          </w:p>
        </w:tc>
        <w:tc>
          <w:tcPr>
            <w:tcW w:w="2360"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Наименование показателя</w:t>
            </w:r>
          </w:p>
        </w:tc>
        <w:tc>
          <w:tcPr>
            <w:tcW w:w="2381"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Формула расчета</w:t>
            </w:r>
          </w:p>
        </w:tc>
        <w:tc>
          <w:tcPr>
            <w:tcW w:w="2436"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Комментарии (интерпретация значений)</w:t>
            </w:r>
          </w:p>
        </w:tc>
        <w:tc>
          <w:tcPr>
            <w:tcW w:w="1552"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Базовое значение показат</w:t>
            </w:r>
            <w:r w:rsidRPr="002E5AA1">
              <w:rPr>
                <w:rFonts w:ascii="Arial" w:eastAsia="Times New Roman" w:hAnsi="Arial" w:cs="Arial"/>
                <w:sz w:val="24"/>
                <w:szCs w:val="24"/>
                <w:lang w:eastAsia="ru-RU"/>
              </w:rPr>
              <w:lastRenderedPageBreak/>
              <w:t>еля</w:t>
            </w:r>
          </w:p>
        </w:tc>
        <w:tc>
          <w:tcPr>
            <w:tcW w:w="2492"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Международное сопоставление показате</w:t>
            </w:r>
            <w:r w:rsidRPr="002E5AA1">
              <w:rPr>
                <w:rFonts w:ascii="Arial" w:eastAsia="Times New Roman" w:hAnsi="Arial" w:cs="Arial"/>
                <w:sz w:val="24"/>
                <w:szCs w:val="24"/>
                <w:lang w:eastAsia="ru-RU"/>
              </w:rPr>
              <w:lastRenderedPageBreak/>
              <w:t>ля</w:t>
            </w:r>
          </w:p>
        </w:tc>
        <w:tc>
          <w:tcPr>
            <w:tcW w:w="0" w:type="auto"/>
            <w:gridSpan w:val="9"/>
            <w:tcBorders>
              <w:top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Целевые значения показателей</w:t>
            </w:r>
          </w:p>
        </w:tc>
        <w:tc>
          <w:tcPr>
            <w:tcW w:w="0" w:type="auto"/>
            <w:gridSpan w:val="4"/>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Источники данных для определения значений показателя</w:t>
            </w:r>
          </w:p>
        </w:tc>
        <w:tc>
          <w:tcPr>
            <w:tcW w:w="0" w:type="auto"/>
            <w:gridSpan w:val="6"/>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Сведения о документах стратегического планирования, содержащих показатель </w:t>
            </w:r>
            <w:r w:rsidRPr="002E5AA1">
              <w:rPr>
                <w:rFonts w:ascii="Arial" w:eastAsia="Times New Roman" w:hAnsi="Arial" w:cs="Arial"/>
                <w:sz w:val="24"/>
                <w:szCs w:val="24"/>
                <w:lang w:eastAsia="ru-RU"/>
              </w:rPr>
              <w:lastRenderedPageBreak/>
              <w:t>(при его наличии)</w:t>
            </w:r>
          </w:p>
        </w:tc>
      </w:tr>
      <w:tr w:rsidR="002E5AA1" w:rsidRPr="002E5AA1" w:rsidTr="002E5AA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предыдущий год</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текущий год</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будущий год</w:t>
            </w:r>
          </w:p>
        </w:tc>
        <w:tc>
          <w:tcPr>
            <w:tcW w:w="0" w:type="auto"/>
            <w:gridSpan w:val="4"/>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c>
          <w:tcPr>
            <w:tcW w:w="0" w:type="auto"/>
            <w:gridSpan w:val="6"/>
            <w:vMerge/>
            <w:tcBorders>
              <w:top w:val="single" w:sz="6" w:space="0" w:color="000000"/>
              <w:bottom w:val="single" w:sz="6" w:space="0" w:color="000000"/>
              <w:right w:val="single" w:sz="6" w:space="0" w:color="000000"/>
            </w:tcBorders>
            <w:vAlign w:val="center"/>
            <w:hideMark/>
          </w:tcPr>
          <w:p w:rsidR="002E5AA1" w:rsidRPr="002E5AA1" w:rsidRDefault="002E5AA1" w:rsidP="002E5AA1">
            <w:pPr>
              <w:spacing w:after="0" w:line="240" w:lineRule="auto"/>
              <w:rPr>
                <w:rFonts w:ascii="Times New Roman" w:eastAsia="Times New Roman" w:hAnsi="Times New Roman" w:cs="Times New Roman"/>
                <w:sz w:val="24"/>
                <w:szCs w:val="24"/>
                <w:lang w:eastAsia="ru-RU"/>
              </w:rPr>
            </w:pP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КЛЮЧЕВЫЕ ПОКАЗАТЕЛИ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1</w:t>
            </w:r>
          </w:p>
        </w:tc>
        <w:tc>
          <w:tcPr>
            <w:tcW w:w="0" w:type="auto"/>
            <w:gridSpan w:val="2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1.1.</w:t>
            </w:r>
          </w:p>
        </w:tc>
        <w:tc>
          <w:tcPr>
            <w:tcW w:w="2360"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w:t>
            </w:r>
            <w:r w:rsidRPr="002E5AA1">
              <w:rPr>
                <w:rFonts w:ascii="Arial" w:eastAsia="Times New Roman" w:hAnsi="Arial" w:cs="Arial"/>
                <w:sz w:val="24"/>
                <w:szCs w:val="24"/>
                <w:lang w:eastAsia="ru-RU"/>
              </w:rPr>
              <w:lastRenderedPageBreak/>
              <w:t>щений в многоквартирных домах и жилых домов, в процентах от валового регионального продукта</w:t>
            </w:r>
          </w:p>
        </w:tc>
        <w:tc>
          <w:tcPr>
            <w:tcW w:w="2381"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Сп*100/ ВРП</w:t>
            </w:r>
          </w:p>
        </w:tc>
        <w:tc>
          <w:tcPr>
            <w:tcW w:w="2436"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w:t>
            </w:r>
            <w:r w:rsidRPr="002E5AA1">
              <w:rPr>
                <w:rFonts w:ascii="Arial" w:eastAsia="Times New Roman" w:hAnsi="Arial" w:cs="Arial"/>
                <w:sz w:val="24"/>
                <w:szCs w:val="24"/>
                <w:lang w:eastAsia="ru-RU"/>
              </w:rPr>
              <w:lastRenderedPageBreak/>
              <w:t>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1552"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 журнал распоряжений, реестр проверок статистические данные</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1.2.</w:t>
            </w:r>
          </w:p>
        </w:tc>
        <w:tc>
          <w:tcPr>
            <w:tcW w:w="2360"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Доля выявленных случаев нарушений обязательных требований, повлекших причинение вреда жизни, здоровью граждан о</w:t>
            </w:r>
            <w:r w:rsidRPr="002E5AA1">
              <w:rPr>
                <w:rFonts w:ascii="Arial" w:eastAsia="Times New Roman" w:hAnsi="Arial" w:cs="Arial"/>
                <w:sz w:val="24"/>
                <w:szCs w:val="24"/>
                <w:lang w:eastAsia="ru-RU"/>
              </w:rPr>
              <w:lastRenderedPageBreak/>
              <w:t>т общего количества выявленных нарушений</w:t>
            </w:r>
          </w:p>
        </w:tc>
        <w:tc>
          <w:tcPr>
            <w:tcW w:w="2381"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Кспв*100% / Ксн</w:t>
            </w:r>
          </w:p>
        </w:tc>
        <w:tc>
          <w:tcPr>
            <w:tcW w:w="2436"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w:t>
            </w:r>
            <w:r w:rsidRPr="002E5AA1">
              <w:rPr>
                <w:rFonts w:ascii="Arial" w:eastAsia="Times New Roman" w:hAnsi="Arial" w:cs="Arial"/>
                <w:sz w:val="24"/>
                <w:szCs w:val="24"/>
                <w:lang w:eastAsia="ru-RU"/>
              </w:rPr>
              <w:lastRenderedPageBreak/>
              <w:t>ю силу решениями суда;</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К сн- общее количество случаев нарушения обязательных требований, выявленных по результатам проверок</w:t>
            </w:r>
          </w:p>
        </w:tc>
        <w:tc>
          <w:tcPr>
            <w:tcW w:w="1552"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 данные ГАС РФ «Правосудие».</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ИНДИКАТИВНЫЕ ПОКАЗАТЕЛИ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2</w:t>
            </w:r>
          </w:p>
        </w:tc>
        <w:tc>
          <w:tcPr>
            <w:tcW w:w="0" w:type="auto"/>
            <w:gridSpan w:val="2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2.1. Контрольные мероприятия при взаимодействии с контролируемым лицом</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2.1.1.</w:t>
            </w:r>
          </w:p>
        </w:tc>
        <w:tc>
          <w:tcPr>
            <w:tcW w:w="2360"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Доля контрольных мероприятий в рамках муниципального жилищного контроля, проведенных в установленные сроки</w:t>
            </w:r>
            <w:r w:rsidRPr="002E5AA1">
              <w:rPr>
                <w:rFonts w:ascii="Arial" w:eastAsia="Times New Roman" w:hAnsi="Arial" w:cs="Arial"/>
                <w:sz w:val="24"/>
                <w:szCs w:val="24"/>
                <w:lang w:eastAsia="ru-RU"/>
              </w:rPr>
              <w:lastRenderedPageBreak/>
              <w:t>, по отношению к общему количеству контрольных мероприятий, проведенных в рамках осуществления муниципального жилищного контроля</w:t>
            </w:r>
          </w:p>
        </w:tc>
        <w:tc>
          <w:tcPr>
            <w:tcW w:w="2381"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Пву*100% / Пок</w:t>
            </w:r>
          </w:p>
        </w:tc>
        <w:tc>
          <w:tcPr>
            <w:tcW w:w="2436"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Пву – количество контрольных мероприятий в рамках муниципального жилищного контроля, проведенных в установленные сроки</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Пок – общее количество проведе</w:t>
            </w:r>
            <w:r w:rsidRPr="002E5AA1">
              <w:rPr>
                <w:rFonts w:ascii="Arial" w:eastAsia="Times New Roman" w:hAnsi="Arial" w:cs="Arial"/>
                <w:sz w:val="24"/>
                <w:szCs w:val="24"/>
                <w:lang w:eastAsia="ru-RU"/>
              </w:rPr>
              <w:lastRenderedPageBreak/>
              <w:t>нных контрольных мероприятий в рамках муниципального жилищного контроля</w:t>
            </w:r>
          </w:p>
        </w:tc>
        <w:tc>
          <w:tcPr>
            <w:tcW w:w="1552"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661" w:type="dxa"/>
            <w:tcBorders>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2.1.2.</w:t>
            </w:r>
          </w:p>
        </w:tc>
        <w:tc>
          <w:tcPr>
            <w:tcW w:w="2360"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Доля предписаний, признанных незаконными в судебном порядке, по отношению к общему количеству предписаний, </w:t>
            </w:r>
            <w:r w:rsidRPr="002E5AA1">
              <w:rPr>
                <w:rFonts w:ascii="Arial" w:eastAsia="Times New Roman" w:hAnsi="Arial" w:cs="Arial"/>
                <w:sz w:val="24"/>
                <w:szCs w:val="24"/>
                <w:lang w:eastAsia="ru-RU"/>
              </w:rPr>
              <w:lastRenderedPageBreak/>
              <w:t>выданных органом муниципального жилищного контроля в ходе осуществления муниципального жилищного контроля</w:t>
            </w:r>
          </w:p>
        </w:tc>
        <w:tc>
          <w:tcPr>
            <w:tcW w:w="2381"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ПРн*100% / ПРо</w:t>
            </w:r>
          </w:p>
        </w:tc>
        <w:tc>
          <w:tcPr>
            <w:tcW w:w="2436"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ПРн- количество предписаний, признанных незаконными в судебном порядке;</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Про- общее количеству предписаний, выданных в ходе муниципального </w:t>
            </w:r>
            <w:r w:rsidRPr="002E5AA1">
              <w:rPr>
                <w:rFonts w:ascii="Arial" w:eastAsia="Times New Roman" w:hAnsi="Arial" w:cs="Arial"/>
                <w:sz w:val="24"/>
                <w:szCs w:val="24"/>
                <w:lang w:eastAsia="ru-RU"/>
              </w:rPr>
              <w:lastRenderedPageBreak/>
              <w:t>жилищного контроля</w:t>
            </w:r>
          </w:p>
        </w:tc>
        <w:tc>
          <w:tcPr>
            <w:tcW w:w="1552"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661"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2.1.3.</w:t>
            </w:r>
          </w:p>
        </w:tc>
        <w:tc>
          <w:tcPr>
            <w:tcW w:w="2360"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Доля контрольных мероприятий, проведенных рамках муниципального жилищного контроля, результаты которых были признаны неде</w:t>
            </w:r>
            <w:r w:rsidRPr="002E5AA1">
              <w:rPr>
                <w:rFonts w:ascii="Arial" w:eastAsia="Times New Roman" w:hAnsi="Arial" w:cs="Arial"/>
                <w:sz w:val="24"/>
                <w:szCs w:val="24"/>
                <w:lang w:eastAsia="ru-RU"/>
              </w:rPr>
              <w:lastRenderedPageBreak/>
              <w:t>йствительными</w:t>
            </w:r>
          </w:p>
        </w:tc>
        <w:tc>
          <w:tcPr>
            <w:tcW w:w="2381"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Ппн*100% / Пок</w:t>
            </w:r>
          </w:p>
        </w:tc>
        <w:tc>
          <w:tcPr>
            <w:tcW w:w="2436"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Ппн – количество контрольных мероприятий, результаты которых были признаны недействительными;</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Пок - общему количество контрольных мероприятий, проведенных в рамках муниципального </w:t>
            </w:r>
            <w:r w:rsidRPr="002E5AA1">
              <w:rPr>
                <w:rFonts w:ascii="Arial" w:eastAsia="Times New Roman" w:hAnsi="Arial" w:cs="Arial"/>
                <w:sz w:val="24"/>
                <w:szCs w:val="24"/>
                <w:lang w:eastAsia="ru-RU"/>
              </w:rPr>
              <w:lastRenderedPageBreak/>
              <w:t>жилищного контроля</w:t>
            </w:r>
          </w:p>
        </w:tc>
        <w:tc>
          <w:tcPr>
            <w:tcW w:w="1552"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66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2.1.4.</w:t>
            </w:r>
          </w:p>
        </w:tc>
        <w:tc>
          <w:tcPr>
            <w:tcW w:w="2360"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w:t>
            </w:r>
            <w:r w:rsidRPr="002E5AA1">
              <w:rPr>
                <w:rFonts w:ascii="Arial" w:eastAsia="Times New Roman" w:hAnsi="Arial" w:cs="Arial"/>
                <w:sz w:val="24"/>
                <w:szCs w:val="24"/>
                <w:lang w:eastAsia="ru-RU"/>
              </w:rPr>
              <w:lastRenderedPageBreak/>
              <w:t>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2381"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Псн*100% /Пок</w:t>
            </w:r>
          </w:p>
        </w:tc>
        <w:tc>
          <w:tcPr>
            <w:tcW w:w="2436"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w:t>
            </w:r>
            <w:r w:rsidRPr="002E5AA1">
              <w:rPr>
                <w:rFonts w:ascii="Arial" w:eastAsia="Times New Roman" w:hAnsi="Arial" w:cs="Arial"/>
                <w:sz w:val="24"/>
                <w:szCs w:val="24"/>
                <w:lang w:eastAsia="ru-RU"/>
              </w:rPr>
              <w:lastRenderedPageBreak/>
              <w:t>меры дисциплинарного, административного наказания</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Пок- общее количество контрольных мероприятий, проведенных в рамках муниципального жилищного контроля</w:t>
            </w:r>
          </w:p>
        </w:tc>
        <w:tc>
          <w:tcPr>
            <w:tcW w:w="1552" w:type="dxa"/>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66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 </w:t>
            </w:r>
          </w:p>
        </w:tc>
        <w:tc>
          <w:tcPr>
            <w:tcW w:w="0" w:type="auto"/>
            <w:gridSpan w:val="15"/>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2.2. Мероприятия по контролю без взаимодействия с контролируемым лицом</w:t>
            </w:r>
          </w:p>
        </w:tc>
        <w:tc>
          <w:tcPr>
            <w:tcW w:w="0" w:type="auto"/>
            <w:gridSpan w:val="7"/>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2.2.1.</w:t>
            </w:r>
          </w:p>
        </w:tc>
        <w:tc>
          <w:tcPr>
            <w:tcW w:w="2360"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Общее количество контрольных мероприятий</w:t>
            </w:r>
          </w:p>
        </w:tc>
        <w:tc>
          <w:tcPr>
            <w:tcW w:w="2381"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инспекции</w:t>
            </w:r>
          </w:p>
        </w:tc>
        <w:tc>
          <w:tcPr>
            <w:tcW w:w="2436"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органа муниципального жилищного контроля</w:t>
            </w:r>
          </w:p>
        </w:tc>
        <w:tc>
          <w:tcPr>
            <w:tcW w:w="1552"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3"/>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0" w:type="auto"/>
            <w:gridSpan w:val="3"/>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r w:rsidR="002E5AA1" w:rsidRPr="002E5AA1" w:rsidTr="002E5AA1">
        <w:trPr>
          <w:jc w:val="center"/>
        </w:trPr>
        <w:tc>
          <w:tcPr>
            <w:tcW w:w="1362"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2.2.2.</w:t>
            </w:r>
          </w:p>
        </w:tc>
        <w:tc>
          <w:tcPr>
            <w:tcW w:w="2360"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по результатам контрольных </w:t>
            </w:r>
            <w:r w:rsidRPr="002E5AA1">
              <w:rPr>
                <w:rFonts w:ascii="Arial" w:eastAsia="Times New Roman" w:hAnsi="Arial" w:cs="Arial"/>
                <w:sz w:val="24"/>
                <w:szCs w:val="24"/>
                <w:lang w:eastAsia="ru-RU"/>
              </w:rPr>
              <w:lastRenderedPageBreak/>
              <w:t>мероприятий</w:t>
            </w:r>
          </w:p>
        </w:tc>
        <w:tc>
          <w:tcPr>
            <w:tcW w:w="2381"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lastRenderedPageBreak/>
              <w:t>ПРМБВн*100% / ПРМБВо</w:t>
            </w:r>
          </w:p>
        </w:tc>
        <w:tc>
          <w:tcPr>
            <w:tcW w:w="2436"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ПРМБВн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ПРМБВо - количество предписаний, выданных по результатам контрольных мероприятий</w:t>
            </w:r>
          </w:p>
        </w:tc>
        <w:tc>
          <w:tcPr>
            <w:tcW w:w="1552" w:type="dxa"/>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2"/>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4"/>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c>
          <w:tcPr>
            <w:tcW w:w="0" w:type="auto"/>
            <w:gridSpan w:val="6"/>
            <w:tcBorders>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Статистические данные контрольного органа</w:t>
            </w:r>
          </w:p>
        </w:tc>
        <w:tc>
          <w:tcPr>
            <w:tcW w:w="0" w:type="auto"/>
            <w:gridSpan w:val="2"/>
            <w:tcBorders>
              <w:bottom w:val="single" w:sz="6" w:space="0" w:color="000000"/>
              <w:right w:val="single" w:sz="6" w:space="0" w:color="000000"/>
            </w:tcBorders>
            <w:shd w:val="clear" w:color="auto" w:fill="FFFFFF"/>
            <w:tcMar>
              <w:top w:w="0" w:type="dxa"/>
              <w:left w:w="108" w:type="dxa"/>
              <w:bottom w:w="0" w:type="dxa"/>
              <w:right w:w="108" w:type="dxa"/>
            </w:tcMar>
            <w:hideMark/>
          </w:tcPr>
          <w:p w:rsidR="002E5AA1" w:rsidRPr="002E5AA1" w:rsidRDefault="002E5AA1" w:rsidP="002E5AA1">
            <w:pPr>
              <w:spacing w:after="0" w:line="240" w:lineRule="auto"/>
              <w:ind w:firstLine="567"/>
              <w:jc w:val="center"/>
              <w:rPr>
                <w:rFonts w:ascii="Times New Roman" w:eastAsia="Times New Roman" w:hAnsi="Times New Roman" w:cs="Times New Roman"/>
                <w:sz w:val="24"/>
                <w:szCs w:val="24"/>
                <w:lang w:eastAsia="ru-RU"/>
              </w:rPr>
            </w:pPr>
            <w:r w:rsidRPr="002E5AA1">
              <w:rPr>
                <w:rFonts w:ascii="Arial" w:eastAsia="Times New Roman" w:hAnsi="Arial" w:cs="Arial"/>
                <w:sz w:val="24"/>
                <w:szCs w:val="24"/>
                <w:lang w:eastAsia="ru-RU"/>
              </w:rPr>
              <w:t> </w:t>
            </w:r>
          </w:p>
        </w:tc>
      </w:tr>
    </w:tbl>
    <w:p w:rsidR="002E5AA1" w:rsidRPr="002E5AA1" w:rsidRDefault="002E5AA1" w:rsidP="002E5AA1">
      <w:pPr>
        <w:spacing w:after="0" w:line="240" w:lineRule="auto"/>
        <w:ind w:firstLine="567"/>
        <w:jc w:val="both"/>
        <w:rPr>
          <w:rFonts w:ascii="Times New Roman" w:eastAsia="Times New Roman" w:hAnsi="Times New Roman" w:cs="Times New Roman"/>
          <w:color w:val="000000"/>
          <w:sz w:val="25"/>
          <w:szCs w:val="25"/>
          <w:lang w:eastAsia="ru-RU"/>
        </w:rPr>
      </w:pPr>
      <w:r w:rsidRPr="002E5AA1">
        <w:rPr>
          <w:rFonts w:ascii="Times New Roman" w:eastAsia="Times New Roman" w:hAnsi="Times New Roman" w:cs="Times New Roman"/>
          <w:color w:val="000000"/>
          <w:sz w:val="25"/>
          <w:szCs w:val="25"/>
          <w:lang w:eastAsia="ru-RU"/>
        </w:rPr>
        <w:lastRenderedPageBreak/>
        <w:t> </w:t>
      </w:r>
    </w:p>
    <w:p w:rsidR="00907E12" w:rsidRPr="002E5AA1" w:rsidRDefault="00907E12" w:rsidP="002E5AA1">
      <w:pPr>
        <w:rPr>
          <w:szCs w:val="24"/>
        </w:rPr>
      </w:pPr>
    </w:p>
    <w:sectPr w:rsidR="00907E12" w:rsidRPr="002E5AA1" w:rsidSect="00B238B7">
      <w:pgSz w:w="11906" w:h="16838"/>
      <w:pgMar w:top="426"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1D5D25"/>
    <w:rsid w:val="0013044E"/>
    <w:rsid w:val="00131AB1"/>
    <w:rsid w:val="001D5D25"/>
    <w:rsid w:val="001E3B90"/>
    <w:rsid w:val="002E5AA1"/>
    <w:rsid w:val="003648FE"/>
    <w:rsid w:val="004355C8"/>
    <w:rsid w:val="00462337"/>
    <w:rsid w:val="004D0F40"/>
    <w:rsid w:val="00502034"/>
    <w:rsid w:val="00527E04"/>
    <w:rsid w:val="00704D1A"/>
    <w:rsid w:val="007A2E12"/>
    <w:rsid w:val="00907E12"/>
    <w:rsid w:val="00953146"/>
    <w:rsid w:val="00A07037"/>
    <w:rsid w:val="00A3677E"/>
    <w:rsid w:val="00AE715B"/>
    <w:rsid w:val="00B23730"/>
    <w:rsid w:val="00B238B7"/>
    <w:rsid w:val="00B90DBC"/>
    <w:rsid w:val="00BC7A63"/>
    <w:rsid w:val="00CB7E62"/>
    <w:rsid w:val="00D023D0"/>
    <w:rsid w:val="00E07745"/>
    <w:rsid w:val="00E10D4D"/>
    <w:rsid w:val="00E6302E"/>
    <w:rsid w:val="00EC5F51"/>
    <w:rsid w:val="00F04A26"/>
    <w:rsid w:val="00F658A0"/>
    <w:rsid w:val="00FA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44E"/>
  </w:style>
  <w:style w:type="paragraph" w:styleId="3">
    <w:name w:val="heading 3"/>
    <w:basedOn w:val="a"/>
    <w:next w:val="a"/>
    <w:link w:val="30"/>
    <w:unhideWhenUsed/>
    <w:qFormat/>
    <w:rsid w:val="00704D1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 w:type="character" w:customStyle="1" w:styleId="30">
    <w:name w:val="Заголовок 3 Знак"/>
    <w:basedOn w:val="a0"/>
    <w:link w:val="3"/>
    <w:rsid w:val="00704D1A"/>
    <w:rPr>
      <w:rFonts w:ascii="Times New Roman" w:eastAsia="Times New Roman" w:hAnsi="Times New Roman" w:cs="Times New Roman"/>
      <w:b/>
      <w:sz w:val="40"/>
      <w:szCs w:val="20"/>
      <w:lang w:eastAsia="ru-RU"/>
    </w:rPr>
  </w:style>
  <w:style w:type="paragraph" w:styleId="a5">
    <w:name w:val="header"/>
    <w:basedOn w:val="a"/>
    <w:link w:val="a6"/>
    <w:semiHidden/>
    <w:unhideWhenUsed/>
    <w:rsid w:val="00704D1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704D1A"/>
    <w:rPr>
      <w:rFonts w:ascii="Times New Roman" w:eastAsia="Times New Roman" w:hAnsi="Times New Roman" w:cs="Times New Roman"/>
      <w:sz w:val="20"/>
      <w:szCs w:val="20"/>
      <w:lang w:eastAsia="ru-RU"/>
    </w:rPr>
  </w:style>
  <w:style w:type="paragraph" w:styleId="a7">
    <w:name w:val="Normal (Web)"/>
    <w:basedOn w:val="a"/>
    <w:uiPriority w:val="99"/>
    <w:unhideWhenUsed/>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27E04"/>
  </w:style>
  <w:style w:type="paragraph" w:customStyle="1" w:styleId="listparagraph">
    <w:name w:val="listparagraph"/>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2E5A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mlpreformatted">
    <w:name w:val="htmlpreformatted"/>
    <w:basedOn w:val="a"/>
    <w:rsid w:val="002E5A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8973076">
      <w:bodyDiv w:val="1"/>
      <w:marLeft w:val="0"/>
      <w:marRight w:val="0"/>
      <w:marTop w:val="0"/>
      <w:marBottom w:val="0"/>
      <w:divBdr>
        <w:top w:val="none" w:sz="0" w:space="0" w:color="auto"/>
        <w:left w:val="none" w:sz="0" w:space="0" w:color="auto"/>
        <w:bottom w:val="none" w:sz="0" w:space="0" w:color="auto"/>
        <w:right w:val="none" w:sz="0" w:space="0" w:color="auto"/>
      </w:divBdr>
    </w:div>
    <w:div w:id="681125445">
      <w:bodyDiv w:val="1"/>
      <w:marLeft w:val="0"/>
      <w:marRight w:val="0"/>
      <w:marTop w:val="0"/>
      <w:marBottom w:val="0"/>
      <w:divBdr>
        <w:top w:val="none" w:sz="0" w:space="0" w:color="auto"/>
        <w:left w:val="none" w:sz="0" w:space="0" w:color="auto"/>
        <w:bottom w:val="none" w:sz="0" w:space="0" w:color="auto"/>
        <w:right w:val="none" w:sz="0" w:space="0" w:color="auto"/>
      </w:divBdr>
    </w:div>
    <w:div w:id="161771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B028453-866B-4925-9053-880475A502D0" TargetMode="External"/><Relationship Id="rId13" Type="http://schemas.openxmlformats.org/officeDocument/2006/relationships/hyperlink" Target="https://pravo-search.minjust.ru/bigs/showDocument.html?id=AB028453-866B-4925-9053-880475A502D0" TargetMode="External"/><Relationship Id="rId18" Type="http://schemas.openxmlformats.org/officeDocument/2006/relationships/hyperlink" Target="https://pravo-search.minjust.ru/bigs/showDocument.html?id=DE01D018-65C3-456F-A0E8-556E526B6B9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avo-search.minjust.ru/bigs/showDocument.html?id=5ECDC134-7E68-4C31-ACD8-61AFADB11843" TargetMode="External"/><Relationship Id="rId12" Type="http://schemas.openxmlformats.org/officeDocument/2006/relationships/hyperlink" Target="https://pravo-search.minjust.ru/bigs/showDocument.html?id=AB028453-866B-4925-9053-880475A502D0" TargetMode="External"/><Relationship Id="rId17" Type="http://schemas.openxmlformats.org/officeDocument/2006/relationships/hyperlink" Target="https://pravo-search.minjust.ru/bigs/showDocument.html?id=DE01D018-65C3-456F-A0E8-556E526B6B9D" TargetMode="External"/><Relationship Id="rId2" Type="http://schemas.openxmlformats.org/officeDocument/2006/relationships/styles" Target="styles.xml"/><Relationship Id="rId16" Type="http://schemas.openxmlformats.org/officeDocument/2006/relationships/hyperlink" Target="https://pravo-search.minjust.ru/bigs/showDocument.html?id=DE01D018-65C3-456F-A0E8-556E526B6B9D" TargetMode="External"/><Relationship Id="rId20" Type="http://schemas.openxmlformats.org/officeDocument/2006/relationships/hyperlink" Target="https://pravo-search.minjust.ru/bigs/showDocument.html?id=AB028453-866B-4925-9053-880475A502D0"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DE01D018-65C3-456F-A0E8-556E526B6B9D" TargetMode="External"/><Relationship Id="rId11" Type="http://schemas.openxmlformats.org/officeDocument/2006/relationships/hyperlink" Target="https://pravo-search.minjust.ru/bigs/showDocument.html?id=AB028453-866B-4925-9053-880475A502D0" TargetMode="External"/><Relationship Id="rId5" Type="http://schemas.openxmlformats.org/officeDocument/2006/relationships/hyperlink" Target="https://pravo-search.minjust.ru/bigs/showDocument.html?id=AB028453-866B-4925-9053-880475A502D0" TargetMode="External"/><Relationship Id="rId15" Type="http://schemas.openxmlformats.org/officeDocument/2006/relationships/hyperlink" Target="https://pravo-search.minjust.ru/bigs/showDocument.html?id=DE01D018-65C3-456F-A0E8-556E526B6B9D" TargetMode="External"/><Relationship Id="rId23" Type="http://schemas.microsoft.com/office/2007/relationships/stylesWithEffects" Target="stylesWithEffects.xml"/><Relationship Id="rId10" Type="http://schemas.openxmlformats.org/officeDocument/2006/relationships/hyperlink" Target="https://pravo-search.minjust.ru/bigs/showDocument.html?id=AB028453-866B-4925-9053-880475A502D0" TargetMode="External"/><Relationship Id="rId19" Type="http://schemas.openxmlformats.org/officeDocument/2006/relationships/hyperlink" Target="https://pravo-search.minjust.ru/bigs/showDocument.html?id=AB028453-866B-4925-9053-880475A502D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E01D018-65C3-456F-A0E8-556E526B6B9D" TargetMode="External"/><Relationship Id="rId14" Type="http://schemas.openxmlformats.org/officeDocument/2006/relationships/hyperlink" Target="https://pravo-search.minjust.ru/bigs/showDocument.html?id=DE01D018-65C3-456F-A0E8-556E526B6B9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5A94D-BDA7-417F-A4C0-CF73385A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32</Pages>
  <Words>11242</Words>
  <Characters>64084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20</cp:revision>
  <cp:lastPrinted>2023-12-05T07:01:00Z</cp:lastPrinted>
  <dcterms:created xsi:type="dcterms:W3CDTF">2022-11-08T08:13:00Z</dcterms:created>
  <dcterms:modified xsi:type="dcterms:W3CDTF">2025-02-07T10:07:00Z</dcterms:modified>
</cp:coreProperties>
</file>