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45"/>
        <w:tblW w:w="0" w:type="auto"/>
        <w:tblInd w:w="-142" w:type="dxa"/>
        <w:tblBorders>
          <w:top w:val="none" w:color="000000" w:sz="4" w:space="0"/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701"/>
        <w:gridCol w:w="423"/>
        <w:gridCol w:w="1137"/>
        <w:gridCol w:w="816"/>
        <w:gridCol w:w="4819"/>
      </w:tblGrid>
      <w:tr>
        <w:trPr>
          <w:trHeight w:val="1135" w:hRule="exact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spacing w:before="240"/>
            </w:pPr>
            <w:r/>
            <w:r/>
          </w:p>
        </w:tc>
      </w:tr>
      <w:tr>
        <w:trPr>
          <w:trHeight w:val="2705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ind w:left="-78" w:right="178" w:firstLine="0"/>
              <w:spacing w:line="240" w:lineRule="exact"/>
            </w:pPr>
            <w:r>
              <w:t xml:space="preserve">Г</w:t>
            </w:r>
            <w:r>
              <w:t xml:space="preserve">лавам администраций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муниципальных образований  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Мокшанского района </w:t>
            </w:r>
            <w:r/>
          </w:p>
          <w:p>
            <w:pPr>
              <w:ind w:left="-78" w:right="178" w:firstLine="0"/>
              <w:spacing w:line="240" w:lineRule="exact"/>
            </w:pPr>
            <w:r>
              <w:t xml:space="preserve">Пензенской области </w:t>
            </w:r>
            <w:r/>
          </w:p>
          <w:p>
            <w:pPr>
              <w:ind w:left="-78" w:right="178" w:firstLine="0"/>
              <w:spacing w:line="240" w:lineRule="exact"/>
            </w:pPr>
            <w:r/>
            <w:r/>
          </w:p>
        </w:tc>
      </w:tr>
      <w:tr>
        <w:trPr>
          <w:trHeight w:val="421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rPr>
          <w:trHeight w:val="25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7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textDirection w:val="lrTb"/>
            <w:noWrap w:val="false"/>
          </w:tcPr>
          <w:p>
            <w:pPr>
              <w:rPr>
                <w:sz w:val="18"/>
              </w:rPr>
            </w:pPr>
            <w:r>
              <w:rPr>
                <w:sz w:val="18"/>
              </w:rPr>
            </w:r>
            <w:r/>
          </w:p>
        </w:tc>
      </w:tr>
      <w:tr>
        <w:trPr>
          <w:trHeight w:val="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rPr>
          <w:trHeight w:val="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5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53" w:type="dxa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10"/>
              </w:rPr>
            </w:pPr>
            <w:r>
              <w:rPr>
                <w:color w:val="d9d9d9" w:themeColor="background1" w:themeShade="D9"/>
                <w:sz w:val="1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819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pPr>
        <w:jc w:val="both"/>
        <w:spacing w:line="240" w:lineRule="exact"/>
        <w:rPr>
          <w:b/>
        </w:rPr>
      </w:pPr>
      <w:r>
        <w:rPr>
          <w:b/>
        </w:rPr>
        <w:t xml:space="preserve">ИНФОРМАЦИЯ</w:t>
      </w:r>
      <w:r/>
    </w:p>
    <w:p>
      <w:pPr>
        <w:ind w:right="4534"/>
        <w:jc w:val="both"/>
        <w:spacing w:line="240" w:lineRule="exact"/>
      </w:pPr>
      <w:r/>
      <w:r/>
    </w:p>
    <w:p>
      <w:pPr>
        <w:ind w:right="4534"/>
        <w:jc w:val="both"/>
        <w:spacing w:line="240" w:lineRule="exact"/>
      </w:pPr>
      <w:r>
        <w:t xml:space="preserve">Для </w:t>
      </w:r>
      <w:r>
        <w:t xml:space="preserve">размещения </w:t>
      </w:r>
      <w:r>
        <w:t xml:space="preserve">на официальном интернет-</w:t>
      </w:r>
      <w:r>
        <w:t xml:space="preserve">сайте</w:t>
      </w:r>
      <w:r>
        <w:t xml:space="preserve"> </w:t>
      </w:r>
      <w:r>
        <w:t xml:space="preserve">и в информационном бюллетене</w:t>
      </w:r>
      <w:r/>
    </w:p>
    <w:p>
      <w:pPr>
        <w:jc w:val="both"/>
      </w:pPr>
      <w:r/>
      <w:bookmarkStart w:id="3" w:name="_Hlk122105023"/>
      <w:r/>
      <w:r/>
    </w:p>
    <w:p>
      <w:pPr>
        <w:ind w:left="0" w:firstLine="720"/>
        <w:jc w:val="both"/>
      </w:pPr>
      <w:r>
        <w:t xml:space="preserve">Направляю Вам для размещения в информационном бюллетене</w:t>
      </w:r>
      <w:r>
        <w:t xml:space="preserve">, официальном сайте и станице </w:t>
      </w:r>
      <w:r>
        <w:t xml:space="preserve">«</w:t>
      </w:r>
      <w:r>
        <w:t xml:space="preserve">ВКонтакте</w:t>
      </w:r>
      <w:r>
        <w:t xml:space="preserve">»</w:t>
      </w:r>
      <w:r>
        <w:t xml:space="preserve"> администрации муниципального образования следующие информации:</w:t>
      </w:r>
      <w:r/>
    </w:p>
    <w:p>
      <w:pPr>
        <w:ind w:left="0" w:firstLine="720"/>
        <w:jc w:val="both"/>
      </w:pPr>
      <w:r/>
      <w:r/>
    </w:p>
    <w:p>
      <w:pPr>
        <w:ind w:left="0" w:firstLine="539"/>
        <w:jc w:val="center"/>
        <w:rPr>
          <w:b/>
        </w:rPr>
      </w:pPr>
      <w:r>
        <w:rPr>
          <w:b/>
        </w:rPr>
        <w:t xml:space="preserve">Прокуратура Мокшанского района отреагировала на продажу некачественного масла</w:t>
      </w:r>
      <w:r/>
    </w:p>
    <w:p>
      <w:pPr>
        <w:ind w:left="0" w:firstLine="539"/>
        <w:jc w:val="both"/>
      </w:pPr>
      <w:r/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 xml:space="preserve">на основании информации Управления Россельхознадзора по Рязанской и Тамбовской областям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основании пунктов 30, 31 Решения Совета Евразийской эконом</w:t>
      </w:r>
      <w:r>
        <w:rPr>
          <w:rFonts w:ascii="Times New Roman" w:hAnsi="Times New Roman"/>
          <w:color w:val="000000"/>
          <w:sz w:val="28"/>
        </w:rPr>
        <w:t xml:space="preserve">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</w:t>
      </w:r>
      <w:r>
        <w:rPr>
          <w:rFonts w:ascii="Times New Roman" w:hAnsi="Times New Roman"/>
          <w:color w:val="000000"/>
          <w:sz w:val="28"/>
        </w:rPr>
        <w:t xml:space="preserve">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 технических регламентов Союза (Таможенного союза), действие которых на нее распространяется.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Производство молочной продукции должно осуществляться из сырого молока, и (или) сырого обезжиренного молока, и (</w:t>
      </w:r>
      <w:r>
        <w:rPr>
          <w:rFonts w:ascii="Times New Roman" w:hAnsi="Times New Roman"/>
          <w:color w:val="000000"/>
          <w:sz w:val="28"/>
        </w:rPr>
        <w:t xml:space="preserve">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Однако, </w:t>
      </w:r>
      <w:r>
        <w:rPr>
          <w:rFonts w:ascii="Times New Roman" w:hAnsi="Times New Roman"/>
          <w:color w:val="000000"/>
          <w:sz w:val="28"/>
        </w:rPr>
        <w:t xml:space="preserve">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факту допущенных нарушений прокуратурой района в адрес ООО «Новая Изида» внесено представление, а также в о</w:t>
      </w:r>
      <w:r>
        <w:rPr>
          <w:rFonts w:ascii="Times New Roman" w:hAnsi="Times New Roman"/>
          <w:color w:val="000000"/>
          <w:sz w:val="28"/>
        </w:rPr>
        <w:t xml:space="preserve">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оборота. Акты прокурорского реагирования находятся на рассмотрении.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По требованию прокуратуры Мокшанского района отремонтирован мост через реку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проведена проверка соблюдения законодательства </w:t>
      </w:r>
      <w:r>
        <w:rPr>
          <w:rFonts w:ascii="Times New Roman" w:hAnsi="Times New Roman"/>
          <w:color w:val="000000"/>
          <w:sz w:val="28"/>
        </w:rPr>
        <w:t xml:space="preserve">в сфере благоустройства</w:t>
      </w:r>
      <w:r>
        <w:rPr>
          <w:rFonts w:ascii="Times New Roman" w:hAnsi="Times New Roman"/>
          <w:color w:val="000000"/>
          <w:sz w:val="28"/>
        </w:rPr>
        <w:t xml:space="preserve">, в ходе которой выявлены следующие нарушения.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Как указано в п. 19 ч. 1 ст. 14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>
        <w:rPr>
          <w:rFonts w:ascii="Times New Roman" w:hAnsi="Times New Roman"/>
          <w:b w:val="0"/>
          <w:sz w:val="28"/>
        </w:rPr>
        <w:t xml:space="preserve">к вопросам местного значения сельского поселения также относится</w:t>
      </w:r>
      <w:r>
        <w:rPr>
          <w:rFonts w:ascii="Times New Roman" w:hAnsi="Times New Roman"/>
          <w:b w:val="0"/>
          <w:sz w:val="28"/>
        </w:rPr>
        <w:t xml:space="preserve"> организация благоустройства территории поселения в соответствии с указанными правилами.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Положениями пункта </w:t>
      </w:r>
      <w:r>
        <w:rPr>
          <w:rFonts w:ascii="Times New Roman" w:hAnsi="Times New Roman"/>
          <w:color w:val="000000"/>
          <w:sz w:val="28"/>
        </w:rPr>
        <w:t xml:space="preserve">26</w:t>
      </w:r>
      <w:r>
        <w:rPr>
          <w:rFonts w:ascii="Times New Roman" w:hAnsi="Times New Roman"/>
          <w:color w:val="000000"/>
          <w:sz w:val="28"/>
        </w:rPr>
        <w:t xml:space="preserve"> части 1 статьи 14 Федерального закона от 06.10.2003 года № 131-ФЗ установлено, что к вопросам местного значения относится</w:t>
      </w:r>
      <w:r>
        <w:rPr>
          <w:rFonts w:ascii="Times New Roman" w:hAnsi="Times New Roman"/>
          <w:color w:val="000000"/>
          <w:sz w:val="28"/>
        </w:rPr>
        <w:t xml:space="preserve"> также </w:t>
      </w:r>
      <w:r>
        <w:rPr>
          <w:rFonts w:ascii="Times New Roman" w:hAnsi="Times New Roman"/>
          <w:color w:val="000000"/>
          <w:sz w:val="28"/>
        </w:rPr>
        <w:t xml:space="preserve">осуществление мероприятий по охране жизни и здоровья</w:t>
      </w:r>
      <w:r>
        <w:rPr>
          <w:rFonts w:ascii="Times New Roman" w:hAnsi="Times New Roman"/>
          <w:color w:val="000000"/>
          <w:sz w:val="28"/>
        </w:rPr>
        <w:t xml:space="preserve"> людей.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Также в п. 20 ст. 4 Устава Подгорненского сельсовета Мокшанского района Пензенской области указано, что в число вопросов местного значения Подгорненского сельсовета входит организация благоустройства на территории сельского поселения.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тем, в ходе проведенной проверки установлено, что через р. Скачки, находящуюся в черте населенного пункта – с. Подгорное</w:t>
      </w:r>
      <w:r>
        <w:rPr>
          <w:rFonts w:ascii="Times New Roman" w:hAnsi="Times New Roman"/>
          <w:sz w:val="28"/>
        </w:rPr>
        <w:t xml:space="preserve"> Мокшанского района, </w:t>
      </w:r>
      <w:r>
        <w:rPr>
          <w:rFonts w:ascii="Times New Roman" w:hAnsi="Times New Roman"/>
          <w:sz w:val="28"/>
        </w:rPr>
        <w:t xml:space="preserve">пролегает пешеходный мост, являющийся объектом благоустройства транспортной инфраструктуры, который находитс</w:t>
      </w:r>
      <w:r>
        <w:rPr>
          <w:rFonts w:ascii="Times New Roman" w:hAnsi="Times New Roman"/>
          <w:sz w:val="28"/>
        </w:rPr>
        <w:t xml:space="preserve">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 В целом, мост имеет следы разрушения.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</w:t>
      </w:r>
      <w:r>
        <w:rPr>
          <w:rFonts w:ascii="Times New Roman" w:hAnsi="Times New Roman"/>
          <w:color w:val="000000"/>
          <w:sz w:val="28"/>
        </w:rPr>
        <w:t xml:space="preserve">й района в адрес главы администрации Подгорненского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Прокуратурой Мокшанского района проверено хранение зерна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Мокшанского </w:t>
      </w:r>
      <w:r>
        <w:rPr>
          <w:rFonts w:ascii="Times New Roman" w:hAnsi="Times New Roman"/>
          <w:sz w:val="28"/>
        </w:rPr>
        <w:t xml:space="preserve">района Пензенской области при участии специалистов Управления Россельхознадзора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Комиссии Таможенного союза от 09.12.2011 № 874 принят Технический регламент Таможенного союза «О безопасности зерна» вм</w:t>
      </w:r>
      <w:r>
        <w:rPr>
          <w:rFonts w:ascii="Times New Roman" w:hAnsi="Times New Roman"/>
          <w:sz w:val="28"/>
        </w:rPr>
        <w:t xml:space="preserve">есте с «ТР ТС 015/2011. Технический регламент Таможенного союза. 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</w:t>
      </w:r>
      <w:r>
        <w:rPr>
          <w:rFonts w:ascii="Times New Roman" w:hAnsi="Times New Roman"/>
          <w:sz w:val="28"/>
        </w:rPr>
        <w:t xml:space="preserve">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тем, в ходе проверки, проведенной 04.06.2025 в</w:t>
      </w:r>
      <w:r>
        <w:rPr>
          <w:rFonts w:ascii="Times New Roman" w:hAnsi="Times New Roman"/>
          <w:sz w:val="28"/>
        </w:rPr>
        <w:t xml:space="preserve">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r>
        <w:rPr>
          <w:rFonts w:ascii="Times New Roman" w:hAnsi="Times New Roman"/>
          <w:sz w:val="28"/>
        </w:rPr>
        <w:t xml:space="preserve">р.п</w:t>
      </w:r>
      <w:r>
        <w:rPr>
          <w:rFonts w:ascii="Times New Roman" w:hAnsi="Times New Roman"/>
          <w:sz w:val="28"/>
        </w:rPr>
        <w:t xml:space="preserve">. Мокшан, ул. Победы, д. 5, где на хранение находятся 200 тонн пшеницы. В нарушение норм указанного законодательства, в складском помещение справа от входа нарушена целостность бетонных</w:t>
      </w:r>
      <w:r>
        <w:rPr>
          <w:rFonts w:ascii="Times New Roman" w:hAnsi="Times New Roman"/>
          <w:sz w:val="28"/>
        </w:rPr>
        <w:t xml:space="preserve">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</w:t>
      </w:r>
      <w:r>
        <w:rPr>
          <w:rFonts w:ascii="Times New Roman" w:hAnsi="Times New Roman"/>
          <w:sz w:val="28"/>
        </w:rPr>
        <w:t xml:space="preserve">В ходе проверки проведен осмотр здания </w:t>
      </w:r>
      <w:r>
        <w:rPr>
          <w:rFonts w:ascii="Times New Roman" w:hAnsi="Times New Roman"/>
          <w:sz w:val="28"/>
        </w:rPr>
        <w:t xml:space="preserve">котельной  на</w:t>
      </w:r>
      <w:r>
        <w:rPr>
          <w:rFonts w:ascii="Times New Roman" w:hAnsi="Times New Roman"/>
          <w:sz w:val="28"/>
        </w:rPr>
        <w:t xml:space="preserve">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r>
        <w:rPr>
          <w:rFonts w:ascii="Times New Roman" w:hAnsi="Times New Roman"/>
          <w:sz w:val="28"/>
        </w:rPr>
        <w:t xml:space="preserve">р.п</w:t>
      </w:r>
      <w:r>
        <w:rPr>
          <w:rFonts w:ascii="Times New Roman" w:hAnsi="Times New Roman"/>
          <w:sz w:val="28"/>
        </w:rPr>
        <w:t xml:space="preserve">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</w:t>
      </w:r>
      <w:r>
        <w:rPr>
          <w:rFonts w:ascii="Times New Roman" w:hAnsi="Times New Roman"/>
          <w:sz w:val="28"/>
        </w:rPr>
        <w:t xml:space="preserve">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факту допущенных нарушений прокуратурой района в адрес АО «Сервис» внесено представление, а также в отношении руко</w:t>
      </w:r>
      <w:r>
        <w:rPr>
          <w:rFonts w:ascii="Times New Roman" w:hAnsi="Times New Roman"/>
          <w:color w:val="000000"/>
          <w:sz w:val="28"/>
        </w:rPr>
        <w:t xml:space="preserve">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После вмешательства прокуратуры Мокшанского района устранен порыв на ул. Дружбы р.п. Мокшан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 xml:space="preserve">проведена проверка исполнения </w:t>
      </w:r>
      <w:r>
        <w:rPr>
          <w:rFonts w:ascii="Times New Roman" w:hAnsi="Times New Roman"/>
          <w:color w:val="000000"/>
          <w:sz w:val="28"/>
        </w:rPr>
        <w:t xml:space="preserve">законодательства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жилищно-коммунальном хозяйстве в сфере водо</w:t>
      </w:r>
      <w:r>
        <w:rPr>
          <w:rFonts w:ascii="Times New Roman" w:hAnsi="Times New Roman"/>
          <w:color w:val="000000"/>
          <w:sz w:val="28"/>
        </w:rPr>
        <w:t xml:space="preserve">снабжения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</w:rPr>
        <w:t xml:space="preserve">р.п</w:t>
      </w:r>
      <w:r>
        <w:rPr>
          <w:rFonts w:ascii="Times New Roman" w:hAnsi="Times New Roman"/>
          <w:color w:val="000000"/>
          <w:sz w:val="28"/>
        </w:rPr>
        <w:t xml:space="preserve">. Мокшан Пензенской области, в ходе которой установлены следующие нарушения.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части 1</w:t>
      </w:r>
      <w:r>
        <w:rPr>
          <w:rFonts w:ascii="Times New Roman" w:hAnsi="Times New Roman"/>
          <w:color w:val="000000"/>
          <w:sz w:val="28"/>
        </w:rPr>
        <w:t xml:space="preserve">1</w:t>
      </w:r>
      <w:r>
        <w:rPr>
          <w:rFonts w:ascii="Times New Roman" w:hAnsi="Times New Roman"/>
          <w:color w:val="000000"/>
          <w:sz w:val="28"/>
        </w:rPr>
        <w:t xml:space="preserve"> статьи </w:t>
      </w:r>
      <w:r>
        <w:rPr>
          <w:rFonts w:ascii="Times New Roman" w:hAnsi="Times New Roman"/>
          <w:color w:val="000000"/>
          <w:sz w:val="28"/>
        </w:rPr>
        <w:t xml:space="preserve">7</w:t>
      </w:r>
      <w:r>
        <w:rPr>
          <w:rFonts w:ascii="Times New Roman" w:hAnsi="Times New Roman"/>
          <w:color w:val="000000"/>
          <w:sz w:val="28"/>
        </w:rPr>
        <w:t xml:space="preserve"> Федерального закона от 07.12.2011 № 416-ФЗ «О водоснабжении и водоотведении» </w:t>
      </w:r>
      <w:r>
        <w:rPr>
          <w:rFonts w:ascii="Times New Roman" w:hAnsi="Times New Roman"/>
          <w:color w:val="000000"/>
          <w:sz w:val="28"/>
        </w:rPr>
        <w:t xml:space="preserve">г</w:t>
      </w:r>
      <w:r>
        <w:rPr>
          <w:rFonts w:ascii="Times New Roman" w:hAnsi="Times New Roman"/>
          <w:color w:val="000000"/>
          <w:sz w:val="28"/>
        </w:rPr>
        <w:t xml:space="preserve">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</w:t>
      </w:r>
      <w:r>
        <w:rPr>
          <w:rFonts w:ascii="Times New Roman" w:hAnsi="Times New Roman"/>
          <w:color w:val="000000"/>
          <w:sz w:val="28"/>
        </w:rPr>
        <w:t xml:space="preserve">.</w:t>
      </w:r>
      <w:r>
        <w:rPr>
          <w:rFonts w:ascii="Times New Roman" w:hAnsi="Times New Roman"/>
          <w:color w:val="000000"/>
          <w:sz w:val="28"/>
        </w:rPr>
        <w:t xml:space="preserve">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ходе проведенной проверки установлено, что согласно п. 3.2.1 Устава ООО «</w:t>
      </w:r>
      <w:r>
        <w:rPr>
          <w:rFonts w:ascii="Times New Roman" w:hAnsi="Times New Roman"/>
          <w:color w:val="000000"/>
          <w:sz w:val="28"/>
        </w:rPr>
        <w:t xml:space="preserve">Росич</w:t>
      </w:r>
      <w:r>
        <w:rPr>
          <w:rFonts w:ascii="Times New Roman" w:hAnsi="Times New Roman"/>
          <w:color w:val="000000"/>
          <w:sz w:val="28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договорам на водоснабжение, заключенным между ООО «</w:t>
      </w:r>
      <w:r>
        <w:rPr>
          <w:rFonts w:ascii="Times New Roman" w:hAnsi="Times New Roman"/>
          <w:color w:val="000000"/>
          <w:sz w:val="28"/>
        </w:rPr>
        <w:t xml:space="preserve">Росич</w:t>
      </w:r>
      <w:r>
        <w:rPr>
          <w:rFonts w:ascii="Times New Roman" w:hAnsi="Times New Roman"/>
          <w:color w:val="000000"/>
          <w:sz w:val="28"/>
        </w:rPr>
        <w:t xml:space="preserve">» и жителями улицы </w:t>
      </w:r>
      <w:r>
        <w:rPr>
          <w:rFonts w:ascii="Times New Roman" w:hAnsi="Times New Roman"/>
          <w:color w:val="000000"/>
          <w:sz w:val="28"/>
        </w:rPr>
        <w:t xml:space="preserve">Дружбы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р.п</w:t>
      </w:r>
      <w:r>
        <w:rPr>
          <w:rFonts w:ascii="Times New Roman" w:hAnsi="Times New Roman"/>
          <w:color w:val="000000"/>
          <w:sz w:val="28"/>
        </w:rPr>
        <w:t xml:space="preserve">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Вместе с тем, проведенной проверкой установлено, что в районе дома № 46 по ул. Дружбы </w:t>
      </w:r>
      <w:r>
        <w:rPr>
          <w:rFonts w:ascii="Times New Roman" w:hAnsi="Times New Roman"/>
          <w:color w:val="000000"/>
          <w:sz w:val="28"/>
        </w:rPr>
        <w:t xml:space="preserve">р.п</w:t>
      </w:r>
      <w:r>
        <w:rPr>
          <w:rFonts w:ascii="Times New Roman" w:hAnsi="Times New Roman"/>
          <w:color w:val="000000"/>
          <w:sz w:val="28"/>
        </w:rPr>
        <w:t xml:space="preserve">. Мокшан имелось повреждение водопровода с массивной </w:t>
      </w:r>
      <w:r>
        <w:rPr>
          <w:rFonts w:ascii="Times New Roman" w:hAnsi="Times New Roman"/>
          <w:color w:val="000000"/>
          <w:sz w:val="28"/>
        </w:rPr>
        <w:t xml:space="preserve">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</w:t>
      </w:r>
      <w:r>
        <w:rPr>
          <w:rFonts w:ascii="Times New Roman" w:hAnsi="Times New Roman"/>
          <w:color w:val="000000"/>
          <w:sz w:val="28"/>
        </w:rPr>
        <w:t xml:space="preserve">р.п</w:t>
      </w:r>
      <w:r>
        <w:rPr>
          <w:rFonts w:ascii="Times New Roman" w:hAnsi="Times New Roman"/>
          <w:color w:val="000000"/>
          <w:sz w:val="28"/>
        </w:rPr>
        <w:t xml:space="preserve">. Мокшан в период времени с 01 по 02 июня 2025 года.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Указанное обстоятельство нарушает права граждан в сфере жилищно-коммунального хозяйства на оказание ком</w:t>
      </w:r>
      <w:r>
        <w:rPr>
          <w:rFonts w:ascii="Times New Roman" w:hAnsi="Times New Roman"/>
          <w:color w:val="000000"/>
          <w:sz w:val="28"/>
        </w:rPr>
        <w:t xml:space="preserve">мунальных услуг в сфере водоснабжения надлежащего качества, в связи с чем, в адрес директора ООО «Росич» внесено представление, в рамках рассмотрения которого должностными лицами ООО «Росич» оперативно приняты меры, направленные на ликвидацию потерь воды. </w:t>
      </w:r>
      <w:r/>
    </w:p>
    <w:p>
      <w:pPr>
        <w:ind w:left="0" w:firstLine="539"/>
        <w:jc w:val="both"/>
        <w:rPr>
          <w:b/>
        </w:rPr>
      </w:pPr>
      <w:r>
        <w:rPr>
          <w:b/>
        </w:rPr>
      </w:r>
      <w:r/>
    </w:p>
    <w:p>
      <w:pPr>
        <w:ind w:left="0" w:firstLine="539"/>
        <w:jc w:val="center"/>
        <w:rPr>
          <w:b/>
        </w:rPr>
      </w:pPr>
      <w:r>
        <w:rPr>
          <w:b/>
        </w:rPr>
        <w:t xml:space="preserve">За попытку мести своему возлюбленному осуждена жительница р.п. Мокшан</w:t>
      </w:r>
      <w:r/>
    </w:p>
    <w:p>
      <w:pPr>
        <w:ind w:left="0" w:firstLine="539"/>
        <w:jc w:val="both"/>
        <w:rPr>
          <w:b/>
        </w:rPr>
      </w:pPr>
      <w:r>
        <w:rPr>
          <w:b/>
        </w:rPr>
      </w:r>
      <w:r/>
    </w:p>
    <w:p>
      <w:pPr>
        <w:ind w:left="0" w:firstLine="709"/>
        <w:jc w:val="both"/>
      </w:pPr>
      <w:r>
        <w:t xml:space="preserve">Сотрудниками прокуратуры поддержано государственное обвинение в отношении женщины</w:t>
      </w:r>
      <w:r>
        <w:t xml:space="preserve">, 1991 года рождения</w:t>
      </w:r>
      <w:r>
        <w:t xml:space="preserve">, обвиняемой в совершении преступления, предусмотренного ч. 3 ст. 30 УК РФ, ч. 2 ст. 167 УК РФ</w:t>
      </w:r>
      <w:r>
        <w:t xml:space="preserve"> </w:t>
      </w:r>
      <w:r>
        <w:t xml:space="preserve">УК РФ.</w:t>
      </w:r>
      <w:r/>
    </w:p>
    <w:p>
      <w:pPr>
        <w:ind w:left="0" w:firstLine="709"/>
        <w:jc w:val="both"/>
      </w:pPr>
      <w:r>
        <w:t xml:space="preserve">По уголовному делу установлено, что</w:t>
      </w:r>
      <w:r>
        <w:t xml:space="preserve"> </w:t>
      </w:r>
      <w:r>
        <w:t xml:space="preserve">указанная гражданка решила повредить и уничтожить путем поджога квартиру одн</w:t>
      </w:r>
      <w:r>
        <w:t xml:space="preserve">ого из многоквартирных домов в р.п. Мокшане, в которой проживал ее бывший молодой человек. При этом, совершив поджег, подсудимая понимала, что огнем могут быть повреждены также квартиры, принадлежащие другим гражданам, проживающим в многоквартирном доме.  </w:t>
      </w:r>
      <w:r/>
    </w:p>
    <w:p>
      <w:pPr>
        <w:ind w:left="0" w:firstLine="709"/>
        <w:jc w:val="both"/>
      </w:pPr>
      <w: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Мокшанским районным судом к 2-м годам лишения свободы с отбыванием наказания в колонии-поселении.</w:t>
      </w:r>
      <w:r/>
    </w:p>
    <w:p>
      <w:pPr>
        <w:ind w:left="0" w:firstLine="709"/>
        <w:jc w:val="both"/>
      </w:pPr>
      <w:r>
        <w:t xml:space="preserve">Приговор вступил</w:t>
      </w:r>
      <w:r>
        <w:t xml:space="preserve"> в законную силу. </w:t>
      </w:r>
      <w:r/>
    </w:p>
    <w:p>
      <w:pPr>
        <w:ind w:left="0" w:firstLine="709"/>
        <w:jc w:val="both"/>
      </w:pPr>
      <w:r/>
      <w:r/>
    </w:p>
    <w:p>
      <w:pPr>
        <w:ind w:left="0" w:firstLine="0"/>
        <w:jc w:val="center"/>
        <w:rPr>
          <w:b/>
        </w:rPr>
      </w:pPr>
      <w:r>
        <w:rPr>
          <w:b/>
        </w:rPr>
        <w:t xml:space="preserve">Руководитель Мокшанского РЭС прокуратурой района предостережен за несоблюдение срока ремонта аварийных линий электропередач</w:t>
      </w:r>
      <w:r/>
    </w:p>
    <w:p>
      <w:pPr>
        <w:ind w:left="0" w:firstLine="0"/>
        <w:jc w:val="center"/>
        <w:rPr>
          <w:b/>
        </w:rPr>
      </w:pPr>
      <w:r>
        <w:rPr>
          <w:b/>
        </w:rPr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части 1 статьи 28 Федерального закона от 26.03.2003 № 35-ФЗ целями государственного регулирования надежности и безопасности в сфере электр</w:t>
      </w:r>
      <w:r>
        <w:rPr>
          <w:rFonts w:ascii="Times New Roman" w:hAnsi="Times New Roman"/>
          <w:sz w:val="28"/>
        </w:rPr>
        <w:t xml:space="preserve">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э</w:t>
      </w:r>
      <w:r>
        <w:rPr>
          <w:rFonts w:ascii="Times New Roman" w:hAnsi="Times New Roman"/>
          <w:sz w:val="28"/>
        </w:rPr>
        <w:t xml:space="preserve">лектроснабжение жилых домов, расположенных по адресу: ул. Нагорная, с. </w:t>
      </w:r>
      <w:r>
        <w:rPr>
          <w:rFonts w:ascii="Times New Roman" w:hAnsi="Times New Roman"/>
          <w:sz w:val="28"/>
        </w:rPr>
        <w:t xml:space="preserve">Симбухово</w:t>
      </w:r>
      <w:r>
        <w:rPr>
          <w:rFonts w:ascii="Times New Roman" w:hAnsi="Times New Roman"/>
          <w:sz w:val="28"/>
        </w:rPr>
        <w:t xml:space="preserve">, Мокшанский район, Пензенская область, осуществляется посредством ВЛ-0,4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протяженностью 0, 72 км и ТП мощностью 100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от ПС 110/35/10 </w:t>
      </w:r>
      <w:r>
        <w:rPr>
          <w:rFonts w:ascii="Times New Roman" w:hAnsi="Times New Roman"/>
          <w:sz w:val="28"/>
        </w:rPr>
        <w:t xml:space="preserve">кВ.</w:t>
      </w:r>
      <w:r>
        <w:rPr>
          <w:rFonts w:ascii="Times New Roman" w:hAnsi="Times New Roman"/>
          <w:sz w:val="28"/>
        </w:rPr>
        <w:t xml:space="preserve">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следует из пунктов 4.1, 4.6, 4.7 Положения </w:t>
      </w:r>
      <w:r>
        <w:rPr>
          <w:rFonts w:ascii="Times New Roman" w:hAnsi="Times New Roman"/>
          <w:sz w:val="28"/>
        </w:rPr>
        <w:t xml:space="preserve">о Мокшанском районе электрических сетей Пензенского 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Мокшанский РЭС), в </w:t>
      </w:r>
      <w:r>
        <w:rPr>
          <w:rFonts w:ascii="Times New Roman" w:hAnsi="Times New Roman"/>
          <w:sz w:val="28"/>
        </w:rPr>
        <w:t xml:space="preserve">целях реализации задачи по обеспечению соответствия состояния электросетевого имущества требованиям нормативно-технической документации, Мокшанский РЭС выполняет такие функции как: ремонт, техническое обслуживание, техническое освидетельствование распредел</w:t>
      </w:r>
      <w:r>
        <w:rPr>
          <w:rFonts w:ascii="Times New Roman" w:hAnsi="Times New Roman"/>
          <w:sz w:val="28"/>
        </w:rPr>
        <w:t xml:space="preserve">ительных электрических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графиком капитального ремонта ВЛ-0,4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Мокшанского РЭС 2025 г., утвержденного 16.12.2024 года, работы по капитальному ремонту ВЛ-0,4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от ТП 10/0,4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№ 2433 протяженностью 0, 818 км запланированы на сентябрь 2025 года, т.е. должны быть окончены до 30.09.2025 года, включительно. </w:t>
      </w:r>
      <w:r/>
    </w:p>
    <w:p>
      <w:pPr>
        <w:ind w:left="0" w:firstLine="709"/>
        <w:jc w:val="both"/>
        <w:spacing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Вместе</w:t>
      </w:r>
      <w:r>
        <w:rPr>
          <w:rFonts w:ascii="Times New Roman" w:hAnsi="Times New Roman"/>
          <w:sz w:val="28"/>
        </w:rPr>
        <w:t xml:space="preserve"> с тем</w:t>
      </w:r>
      <w:r>
        <w:rPr>
          <w:rFonts w:ascii="Times New Roman" w:hAnsi="Times New Roman"/>
          <w:sz w:val="28"/>
        </w:rPr>
        <w:t xml:space="preserve">, как показала проверка, по состоянию на 03.09.2025 года работы по капитальному ремонту ВЛ-0,4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от ТП 10/0,4 </w:t>
      </w:r>
      <w:r>
        <w:rPr>
          <w:rFonts w:ascii="Times New Roman" w:hAnsi="Times New Roman"/>
          <w:sz w:val="28"/>
        </w:rPr>
        <w:t xml:space="preserve">кВ</w:t>
      </w:r>
      <w:r>
        <w:rPr>
          <w:rFonts w:ascii="Times New Roman" w:hAnsi="Times New Roman"/>
          <w:sz w:val="28"/>
        </w:rPr>
        <w:t xml:space="preserve"> № 2433 еще не начаты, что не позволяет сделать выводы о своевременном их завершении. В связи с чем, руководителю Мокшанского РЭС прокуратурой района объявлено предостережение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недопустимости   </w:t>
      </w:r>
      <w:r>
        <w:rPr>
          <w:rFonts w:ascii="Times New Roman" w:hAnsi="Times New Roman"/>
          <w:sz w:val="28"/>
        </w:rPr>
        <w:t xml:space="preserve">нарушения законодательства</w:t>
      </w:r>
      <w:r>
        <w:rPr>
          <w:rFonts w:ascii="Times New Roman" w:hAnsi="Times New Roman"/>
          <w:b w:val="0"/>
          <w:sz w:val="28"/>
        </w:rPr>
        <w:t xml:space="preserve"> о</w:t>
      </w:r>
      <w:r>
        <w:rPr>
          <w:b w:val="0"/>
        </w:rPr>
        <w:t xml:space="preserve">б электроэнергетике. </w:t>
      </w:r>
      <w:r/>
    </w:p>
    <w:p>
      <w:pPr>
        <w:jc w:val="both"/>
      </w:pPr>
      <w:r/>
      <w:r/>
    </w:p>
    <w:p>
      <w:pPr>
        <w:ind w:left="0" w:firstLine="709"/>
        <w:jc w:val="both"/>
      </w:pPr>
      <w:r>
        <w:t xml:space="preserve">После опубликования</w:t>
      </w:r>
      <w:r>
        <w:t xml:space="preserve"> информаций</w:t>
      </w:r>
      <w:r>
        <w:t xml:space="preserve">, </w:t>
      </w:r>
      <w:r>
        <w:t xml:space="preserve">прошу </w:t>
      </w:r>
      <w:r>
        <w:t xml:space="preserve">направ</w:t>
      </w:r>
      <w:r>
        <w:t xml:space="preserve">ить</w:t>
      </w:r>
      <w:r>
        <w:t xml:space="preserve"> копии бюллетеней </w:t>
      </w:r>
      <w:r>
        <w:t xml:space="preserve">                               </w:t>
      </w:r>
      <w:r>
        <w:t xml:space="preserve">на электронную почту прокуратуры</w:t>
      </w:r>
      <w:r>
        <w:t xml:space="preserve"> </w:t>
      </w:r>
      <w:r>
        <w:rPr>
          <w:rStyle w:val="720"/>
        </w:rPr>
        <w:fldChar w:fldCharType="begin"/>
      </w:r>
      <w:r>
        <w:rPr>
          <w:rStyle w:val="720"/>
        </w:rPr>
        <w:instrText xml:space="preserve">HYPERLINK "mailto:mok@58.mailop.ru"</w:instrText>
      </w:r>
      <w:r>
        <w:rPr>
          <w:rStyle w:val="720"/>
        </w:rPr>
        <w:fldChar w:fldCharType="separate"/>
      </w:r>
      <w:r>
        <w:rPr>
          <w:rStyle w:val="720"/>
        </w:rPr>
        <w:t xml:space="preserve">mok</w:t>
      </w:r>
      <w:r>
        <w:rPr>
          <w:rStyle w:val="720"/>
        </w:rPr>
        <w:t xml:space="preserve">@58.</w:t>
      </w:r>
      <w:r>
        <w:rPr>
          <w:rStyle w:val="720"/>
        </w:rPr>
        <w:t xml:space="preserve">mailop</w:t>
      </w:r>
      <w:r>
        <w:rPr>
          <w:rStyle w:val="720"/>
        </w:rPr>
        <w:t xml:space="preserve">.</w:t>
      </w:r>
      <w:r>
        <w:rPr>
          <w:rStyle w:val="720"/>
        </w:rPr>
        <w:t xml:space="preserve">ru</w:t>
      </w:r>
      <w:r>
        <w:rPr>
          <w:rStyle w:val="720"/>
        </w:rPr>
        <w:fldChar w:fldCharType="end"/>
      </w:r>
      <w:r>
        <w:t xml:space="preserve">.</w:t>
      </w:r>
      <w:r>
        <w:t xml:space="preserve"> </w:t>
      </w:r>
      <w:bookmarkEnd w:id="3"/>
      <w:r/>
      <w:bookmarkStart w:id="4" w:name="_Hlk135163894"/>
      <w:r/>
      <w:bookmarkEnd w:id="4"/>
      <w:r/>
      <w:r/>
    </w:p>
    <w:p>
      <w:pPr>
        <w:ind w:left="0" w:firstLine="709"/>
        <w:spacing w:line="240" w:lineRule="exact"/>
      </w:pPr>
      <w:r/>
      <w:r/>
    </w:p>
    <w:p>
      <w:pPr>
        <w:ind w:left="0" w:firstLine="709"/>
        <w:spacing w:line="240" w:lineRule="exact"/>
      </w:pPr>
      <w:r/>
      <w:r/>
    </w:p>
    <w:tbl>
      <w:tblPr>
        <w:tblStyle w:val="745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515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486" w:type="dxa"/>
            <w:vAlign w:val="bottom"/>
            <w:textDirection w:val="lrTb"/>
            <w:noWrap w:val="false"/>
          </w:tcPr>
          <w:p>
            <w:pPr>
              <w:spacing w:line="240" w:lineRule="exact"/>
            </w:pPr>
            <w:r>
              <w:t xml:space="preserve">И.о. прокурора района</w:t>
            </w:r>
            <w:r/>
          </w:p>
          <w:p>
            <w:pPr>
              <w:spacing w:line="240" w:lineRule="exact"/>
            </w:pPr>
            <w:r/>
            <w:r/>
          </w:p>
          <w:p>
            <w:pPr>
              <w:spacing w:line="240" w:lineRule="exact"/>
            </w:pPr>
            <w:r>
              <w:t xml:space="preserve">советник юстиции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53" w:type="dxa"/>
            <w:vAlign w:val="bottom"/>
            <w:textDirection w:val="lrTb"/>
            <w:noWrap w:val="false"/>
          </w:tcPr>
          <w:p>
            <w:pPr>
              <w:ind w:left="0" w:right="-111" w:firstLine="709"/>
              <w:jc w:val="right"/>
              <w:spacing w:line="240" w:lineRule="exact"/>
            </w:pPr>
            <w:r/>
            <w:bookmarkStart w:id="5" w:name="SIGNERNAME1"/>
            <w:r/>
            <w:bookmarkEnd w:id="5"/>
            <w:r/>
            <w:r/>
          </w:p>
        </w:tc>
      </w:tr>
    </w:tbl>
    <w:p>
      <w:pPr>
        <w:ind w:left="3545" w:firstLine="709"/>
        <w:spacing w:before="240"/>
        <w:rPr>
          <w:color w:val="d9d9d9" w:themeColor="background1" w:themeShade="D9"/>
        </w:rPr>
      </w:pPr>
      <w:r/>
      <w:bookmarkStart w:id="6" w:name="SIGNERSTAMP1"/>
      <w:r>
        <w:rPr>
          <w:color w:val="d9d9d9" w:themeColor="background1" w:themeShade="D9"/>
        </w:rPr>
        <w:t xml:space="preserve">штамп подписи </w:t>
      </w:r>
      <w:r>
        <w:rPr>
          <w:color w:val="d9d9d9" w:themeColor="background1" w:themeShade="D9"/>
        </w:rPr>
        <w:t xml:space="preserve">1</w:t>
      </w:r>
      <w:bookmarkEnd w:id="6"/>
      <w:r/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color w:val="d9d9d9" w:themeColor="background1" w:themeShade="D9"/>
          <w:sz w:val="22"/>
        </w:rPr>
      </w:pPr>
      <w:r>
        <w:rPr>
          <w:color w:val="d9d9d9" w:themeColor="background1" w:themeShade="D9"/>
          <w:sz w:val="22"/>
        </w:rPr>
        <w:t xml:space="preserve">Олунина Т.А., 2-24-69</w:t>
      </w:r>
      <w:r/>
    </w:p>
    <w:p>
      <w:pPr>
        <w:rPr>
          <w:color w:val="d9d9d9" w:themeColor="background1" w:themeShade="D9"/>
        </w:rPr>
      </w:pPr>
      <w:r>
        <w:rPr>
          <w:color w:val="d9d9d9" w:themeColor="background1" w:themeShade="D9"/>
        </w:rPr>
      </w:r>
      <w:r/>
    </w:p>
    <w:p>
      <w:pPr>
        <w:rPr>
          <w:sz w:val="22"/>
        </w:rPr>
      </w:pPr>
      <w:r>
        <w:rPr>
          <w:sz w:val="22"/>
        </w:rPr>
      </w:r>
      <w:r/>
    </w:p>
    <w:sectPr>
      <w:headerReference w:type="default" r:id="rId8"/>
      <w:footerReference w:type="first" r:id="rId9"/>
      <w:footnotePr/>
      <w:endnotePr/>
      <w:type w:val="nextPage"/>
      <w:pgSz w:w="11906" w:h="16838" w:orient="portrait"/>
      <w:pgMar w:top="284" w:right="567" w:bottom="1530" w:left="1418" w:header="680" w:footer="516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3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745"/>
      <w:tblpPr w:horzAnchor="margin" w:tblpXSpec="left" w:vertAnchor="margin" w:tblpYSpec="bottom" w:leftFromText="113" w:topFromText="0" w:rightFromText="113" w:bottomFromText="0"/>
      <w:tblW w:w="0" w:type="auto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20"/>
      <w:gridCol w:w="3501"/>
    </w:tblGrid>
    <w:tr>
      <w:trPr>
        <w:trHeight w:val="552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Mar>
            <w:left w:w="0" w:type="dxa"/>
            <w:right w:w="0" w:type="dxa"/>
          </w:tcMar>
          <w:tcW w:w="6420" w:type="dxa"/>
          <w:textDirection w:val="lrTb"/>
          <w:noWrap w:val="false"/>
        </w:tcPr>
        <w:p>
          <w:pPr>
            <w:spacing w:line="240" w:lineRule="exact"/>
            <w:rPr>
              <w:sz w:val="22"/>
            </w:rPr>
          </w:pPr>
          <w:r>
            <w:rPr>
              <w:sz w:val="22"/>
            </w:rPr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single" w:color="000000" w:sz="4" w:space="0"/>
            <w:right w:val="none" w:color="000000" w:sz="4" w:space="0"/>
          </w:tcBorders>
          <w:tcMar>
            <w:left w:w="0" w:type="dxa"/>
            <w:right w:w="0" w:type="dxa"/>
          </w:tcMar>
          <w:tcW w:w="3501" w:type="dxa"/>
          <w:vAlign w:val="center"/>
          <w:textDirection w:val="lrTb"/>
          <w:noWrap w:val="false"/>
        </w:tcPr>
        <w:p>
          <w:pPr>
            <w:rPr>
              <w:sz w:val="18"/>
            </w:rPr>
          </w:pPr>
          <w:r>
            <w:rPr>
              <w:sz w:val="18"/>
            </w:rPr>
          </w:r>
          <w:r/>
        </w:p>
      </w:tc>
    </w:tr>
    <w:tr>
      <w:trPr>
        <w:trHeight w:val="552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000000" w:sz="4" w:space="0"/>
          </w:tcBorders>
          <w:tcMar>
            <w:left w:w="0" w:type="dxa"/>
            <w:right w:w="0" w:type="dxa"/>
          </w:tcMar>
          <w:tcW w:w="6420" w:type="dxa"/>
          <w:textDirection w:val="lrTb"/>
          <w:noWrap w:val="false"/>
        </w:tcPr>
        <w:p>
          <w:pPr>
            <w:spacing w:line="240" w:lineRule="exact"/>
            <w:rPr>
              <w:sz w:val="22"/>
            </w:rPr>
          </w:pPr>
          <w:r>
            <w:rPr>
              <w:sz w:val="22"/>
            </w:rPr>
          </w:r>
          <w:r/>
        </w:p>
      </w:tc>
      <w:tc>
        <w:tcPr>
          <w:shd w:val="clear" w:color="auto" w:fill="auto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Mar>
            <w:left w:w="0" w:type="dxa"/>
            <w:right w:w="0" w:type="dxa"/>
          </w:tcMar>
          <w:tcW w:w="3501" w:type="dxa"/>
          <w:vAlign w:val="center"/>
          <w:textDirection w:val="lrTb"/>
          <w:noWrap w:val="false"/>
        </w:tcPr>
        <w:p>
          <w:pPr>
            <w:jc w:val="center"/>
            <w:rPr>
              <w:sz w:val="18"/>
            </w:rPr>
          </w:pPr>
          <w:r>
            <w:rPr>
              <w:sz w:val="18"/>
            </w:rPr>
            <w:t xml:space="preserve">Прокуратура </w:t>
          </w:r>
          <w:r>
            <w:rPr>
              <w:sz w:val="18"/>
            </w:rPr>
            <w:t xml:space="preserve">Мокшан</w:t>
          </w:r>
          <w:r>
            <w:rPr>
              <w:sz w:val="18"/>
            </w:rPr>
            <w:t xml:space="preserve">ского</w:t>
          </w:r>
          <w:r>
            <w:rPr>
              <w:sz w:val="18"/>
            </w:rPr>
            <w:t xml:space="preserve"> района </w:t>
          </w:r>
          <w:r>
            <w:rPr>
              <w:sz w:val="18"/>
            </w:rPr>
            <w:t xml:space="preserve">Пензенской области</w:t>
          </w:r>
          <w:r/>
        </w:p>
        <w:p>
          <w:pPr>
            <w:rPr>
              <w:sz w:val="18"/>
            </w:rPr>
          </w:pPr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№</w:t>
          </w:r>
          <w:bookmarkStart w:id="1" w:name="REGNUMSTAMP"/>
          <w:r>
            <w:rPr>
              <w:sz w:val="18"/>
            </w:rPr>
            <w:t xml:space="preserve">  </w:t>
          </w:r>
          <w:r>
            <w:rPr>
              <w:sz w:val="18"/>
            </w:rPr>
            <w:t xml:space="preserve">ШтампРегномер</w:t>
          </w:r>
          <w:bookmarkEnd w:id="1"/>
          <w:r/>
          <w:r/>
        </w:p>
      </w:tc>
    </w:tr>
  </w:tbl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72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8"/>
    <w:link w:val="71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8"/>
    <w:link w:val="74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8"/>
    <w:link w:val="70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8"/>
    <w:link w:val="74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8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8"/>
    <w:link w:val="740"/>
    <w:uiPriority w:val="10"/>
    <w:rPr>
      <w:sz w:val="48"/>
      <w:szCs w:val="48"/>
    </w:rPr>
  </w:style>
  <w:style w:type="character" w:styleId="37">
    <w:name w:val="Subtitle Char"/>
    <w:basedOn w:val="708"/>
    <w:link w:val="738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8"/>
    <w:link w:val="730"/>
    <w:uiPriority w:val="99"/>
  </w:style>
  <w:style w:type="character" w:styleId="45">
    <w:name w:val="Footer Char"/>
    <w:basedOn w:val="708"/>
    <w:link w:val="696"/>
    <w:uiPriority w:val="99"/>
  </w:style>
  <w:style w:type="paragraph" w:styleId="46">
    <w:name w:val="Caption"/>
    <w:basedOn w:val="688"/>
    <w:next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6"/>
    <w:uiPriority w:val="99"/>
  </w:style>
  <w:style w:type="table" w:styleId="49">
    <w:name w:val="Table Grid Light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8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8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7" w:default="1">
    <w:name w:val="Normal"/>
    <w:link w:val="688"/>
    <w:uiPriority w:val="0"/>
    <w:qFormat/>
    <w:pPr>
      <w:spacing w:after="0" w:line="240" w:lineRule="auto"/>
    </w:pPr>
    <w:rPr>
      <w:rFonts w:ascii="Times New Roman" w:hAnsi="Times New Roman"/>
      <w:sz w:val="28"/>
    </w:rPr>
  </w:style>
  <w:style w:type="character" w:styleId="688" w:default="1">
    <w:name w:val="Normal"/>
    <w:link w:val="687"/>
    <w:rPr>
      <w:rFonts w:ascii="Times New Roman" w:hAnsi="Times New Roman"/>
      <w:sz w:val="28"/>
    </w:rPr>
  </w:style>
  <w:style w:type="paragraph" w:styleId="689">
    <w:name w:val="ConsPlusNormal"/>
    <w:link w:val="690"/>
    <w:pPr>
      <w:spacing w:after="0" w:line="240" w:lineRule="auto"/>
      <w:widowControl w:val="off"/>
    </w:pPr>
    <w:rPr>
      <w:rFonts w:ascii="Times New Roman" w:hAnsi="Times New Roman"/>
      <w:sz w:val="28"/>
    </w:rPr>
  </w:style>
  <w:style w:type="character" w:styleId="690">
    <w:name w:val="ConsPlusNormal"/>
    <w:link w:val="689"/>
    <w:rPr>
      <w:rFonts w:ascii="Times New Roman" w:hAnsi="Times New Roman"/>
      <w:sz w:val="28"/>
    </w:rPr>
  </w:style>
  <w:style w:type="paragraph" w:styleId="691">
    <w:name w:val="toc 2"/>
    <w:next w:val="687"/>
    <w:link w:val="692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92">
    <w:name w:val="toc 2"/>
    <w:link w:val="691"/>
    <w:rPr>
      <w:rFonts w:ascii="XO Thames" w:hAnsi="XO Thames"/>
      <w:sz w:val="28"/>
    </w:rPr>
  </w:style>
  <w:style w:type="paragraph" w:styleId="693">
    <w:name w:val="toc 4"/>
    <w:next w:val="687"/>
    <w:link w:val="694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94">
    <w:name w:val="toc 4"/>
    <w:link w:val="693"/>
    <w:rPr>
      <w:rFonts w:ascii="XO Thames" w:hAnsi="XO Thames"/>
      <w:sz w:val="28"/>
    </w:rPr>
  </w:style>
  <w:style w:type="paragraph" w:styleId="695">
    <w:name w:val="Footer"/>
    <w:basedOn w:val="687"/>
    <w:link w:val="696"/>
    <w:pPr>
      <w:tabs>
        <w:tab w:val="center" w:pos="4677" w:leader="none"/>
        <w:tab w:val="right" w:pos="9355" w:leader="none"/>
      </w:tabs>
    </w:pPr>
  </w:style>
  <w:style w:type="character" w:styleId="696">
    <w:name w:val="Footer"/>
    <w:basedOn w:val="688"/>
    <w:link w:val="695"/>
  </w:style>
  <w:style w:type="paragraph" w:styleId="697">
    <w:name w:val="toc 6"/>
    <w:next w:val="687"/>
    <w:link w:val="698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98">
    <w:name w:val="toc 6"/>
    <w:link w:val="697"/>
    <w:rPr>
      <w:rFonts w:ascii="XO Thames" w:hAnsi="XO Thames"/>
      <w:sz w:val="28"/>
    </w:rPr>
  </w:style>
  <w:style w:type="paragraph" w:styleId="699">
    <w:name w:val="toc 7"/>
    <w:next w:val="687"/>
    <w:link w:val="700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700">
    <w:name w:val="toc 7"/>
    <w:link w:val="699"/>
    <w:rPr>
      <w:rFonts w:ascii="XO Thames" w:hAnsi="XO Thames"/>
      <w:sz w:val="28"/>
    </w:rPr>
  </w:style>
  <w:style w:type="paragraph" w:styleId="701">
    <w:name w:val="Endnote"/>
    <w:link w:val="702"/>
    <w:pPr>
      <w:ind w:left="0" w:firstLine="851"/>
      <w:jc w:val="both"/>
    </w:pPr>
    <w:rPr>
      <w:rFonts w:ascii="XO Thames" w:hAnsi="XO Thames"/>
      <w:sz w:val="22"/>
    </w:rPr>
  </w:style>
  <w:style w:type="character" w:styleId="702">
    <w:name w:val="Endnote"/>
    <w:link w:val="701"/>
    <w:rPr>
      <w:rFonts w:ascii="XO Thames" w:hAnsi="XO Thames"/>
      <w:sz w:val="22"/>
    </w:rPr>
  </w:style>
  <w:style w:type="paragraph" w:styleId="703">
    <w:name w:val="Balloon Text"/>
    <w:basedOn w:val="687"/>
    <w:link w:val="704"/>
    <w:rPr>
      <w:rFonts w:ascii="Segoe UI" w:hAnsi="Segoe UI"/>
      <w:sz w:val="18"/>
    </w:rPr>
  </w:style>
  <w:style w:type="character" w:styleId="704">
    <w:name w:val="Balloon Text"/>
    <w:basedOn w:val="688"/>
    <w:link w:val="703"/>
    <w:rPr>
      <w:rFonts w:ascii="Segoe UI" w:hAnsi="Segoe UI"/>
      <w:sz w:val="18"/>
    </w:rPr>
  </w:style>
  <w:style w:type="paragraph" w:styleId="705">
    <w:name w:val="Heading 3"/>
    <w:next w:val="687"/>
    <w:link w:val="70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706">
    <w:name w:val="Heading 3"/>
    <w:link w:val="705"/>
    <w:rPr>
      <w:rFonts w:ascii="XO Thames" w:hAnsi="XO Thames"/>
      <w:b/>
      <w:sz w:val="26"/>
    </w:rPr>
  </w:style>
  <w:style w:type="paragraph" w:styleId="707">
    <w:name w:val="Default Paragraph Font"/>
    <w:link w:val="708"/>
  </w:style>
  <w:style w:type="character" w:styleId="708">
    <w:name w:val="Default Paragraph Font"/>
    <w:link w:val="707"/>
  </w:style>
  <w:style w:type="paragraph" w:styleId="709">
    <w:name w:val="toc 3"/>
    <w:next w:val="687"/>
    <w:link w:val="710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710">
    <w:name w:val="toc 3"/>
    <w:link w:val="709"/>
    <w:rPr>
      <w:rFonts w:ascii="XO Thames" w:hAnsi="XO Thames"/>
      <w:sz w:val="28"/>
    </w:rPr>
  </w:style>
  <w:style w:type="paragraph" w:styleId="711">
    <w:name w:val="Heading 5"/>
    <w:next w:val="687"/>
    <w:link w:val="71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712">
    <w:name w:val="Heading 5"/>
    <w:link w:val="711"/>
    <w:rPr>
      <w:rFonts w:ascii="XO Thames" w:hAnsi="XO Thames"/>
      <w:b/>
      <w:sz w:val="22"/>
    </w:rPr>
  </w:style>
  <w:style w:type="paragraph" w:styleId="713">
    <w:name w:val="Heading 1"/>
    <w:next w:val="687"/>
    <w:link w:val="71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714">
    <w:name w:val="Heading 1"/>
    <w:link w:val="713"/>
    <w:rPr>
      <w:rFonts w:ascii="XO Thames" w:hAnsi="XO Thames"/>
      <w:b/>
      <w:sz w:val="32"/>
    </w:rPr>
  </w:style>
  <w:style w:type="paragraph" w:styleId="715">
    <w:name w:val="Unresolved Mention"/>
    <w:basedOn w:val="707"/>
    <w:link w:val="716"/>
    <w:rPr>
      <w:color w:val="605e5c"/>
      <w:shd w:val="clear" w:color="auto" w:fill="e1dfdd"/>
    </w:rPr>
  </w:style>
  <w:style w:type="character" w:styleId="716">
    <w:name w:val="Unresolved Mention"/>
    <w:basedOn w:val="708"/>
    <w:link w:val="715"/>
    <w:rPr>
      <w:color w:val="605e5c"/>
      <w:shd w:val="clear" w:color="auto" w:fill="e1dfdd"/>
    </w:rPr>
  </w:style>
  <w:style w:type="paragraph" w:styleId="717">
    <w:name w:val="List Paragraph"/>
    <w:basedOn w:val="687"/>
    <w:link w:val="718"/>
    <w:pPr>
      <w:contextualSpacing/>
      <w:ind w:left="720" w:firstLine="0"/>
    </w:pPr>
  </w:style>
  <w:style w:type="character" w:styleId="718">
    <w:name w:val="List Paragraph"/>
    <w:basedOn w:val="688"/>
    <w:link w:val="717"/>
  </w:style>
  <w:style w:type="paragraph" w:styleId="719">
    <w:name w:val="Hyperlink"/>
    <w:basedOn w:val="707"/>
    <w:link w:val="720"/>
    <w:rPr>
      <w:color w:val="0563c1" w:themeColor="hyperlink"/>
      <w:u w:val="single"/>
    </w:rPr>
  </w:style>
  <w:style w:type="character" w:styleId="720">
    <w:name w:val="Hyperlink"/>
    <w:basedOn w:val="708"/>
    <w:link w:val="719"/>
    <w:rPr>
      <w:color w:val="0563c1" w:themeColor="hyperlink"/>
      <w:u w:val="single"/>
    </w:rPr>
  </w:style>
  <w:style w:type="paragraph" w:styleId="721">
    <w:name w:val="Footnote"/>
    <w:link w:val="722"/>
    <w:pPr>
      <w:ind w:left="0" w:firstLine="851"/>
      <w:jc w:val="both"/>
    </w:pPr>
    <w:rPr>
      <w:rFonts w:ascii="XO Thames" w:hAnsi="XO Thames"/>
      <w:sz w:val="22"/>
    </w:rPr>
  </w:style>
  <w:style w:type="character" w:styleId="722">
    <w:name w:val="Footnote"/>
    <w:link w:val="721"/>
    <w:rPr>
      <w:rFonts w:ascii="XO Thames" w:hAnsi="XO Thames"/>
      <w:sz w:val="22"/>
    </w:rPr>
  </w:style>
  <w:style w:type="paragraph" w:styleId="723">
    <w:name w:val="toc 1"/>
    <w:next w:val="687"/>
    <w:link w:val="724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724">
    <w:name w:val="toc 1"/>
    <w:link w:val="723"/>
    <w:rPr>
      <w:rFonts w:ascii="XO Thames" w:hAnsi="XO Thames"/>
      <w:b/>
      <w:sz w:val="28"/>
    </w:rPr>
  </w:style>
  <w:style w:type="paragraph" w:styleId="725">
    <w:name w:val="Основной текст (8)"/>
    <w:basedOn w:val="687"/>
    <w:link w:val="726"/>
    <w:pPr>
      <w:spacing w:before="780" w:line="234" w:lineRule="exact"/>
      <w:widowControl w:val="off"/>
    </w:pPr>
    <w:rPr>
      <w:rFonts w:asciiTheme="minorAscii" w:hAnsiTheme="minorHAnsi"/>
      <w:spacing w:val="6"/>
      <w:sz w:val="17"/>
    </w:rPr>
  </w:style>
  <w:style w:type="character" w:styleId="726">
    <w:name w:val="Основной текст (8)"/>
    <w:basedOn w:val="688"/>
    <w:link w:val="725"/>
    <w:rPr>
      <w:rFonts w:asciiTheme="minorAscii" w:hAnsiTheme="minorHAnsi"/>
      <w:spacing w:val="6"/>
      <w:sz w:val="17"/>
    </w:rPr>
  </w:style>
  <w:style w:type="paragraph" w:styleId="727">
    <w:name w:val="Header and Footer"/>
    <w:link w:val="728"/>
    <w:pPr>
      <w:jc w:val="both"/>
      <w:spacing w:line="240" w:lineRule="auto"/>
    </w:pPr>
    <w:rPr>
      <w:rFonts w:ascii="XO Thames" w:hAnsi="XO Thames"/>
      <w:sz w:val="28"/>
    </w:rPr>
  </w:style>
  <w:style w:type="character" w:styleId="728">
    <w:name w:val="Header and Footer"/>
    <w:link w:val="727"/>
    <w:rPr>
      <w:rFonts w:ascii="XO Thames" w:hAnsi="XO Thames"/>
      <w:sz w:val="28"/>
    </w:rPr>
  </w:style>
  <w:style w:type="paragraph" w:styleId="729">
    <w:name w:val="Header"/>
    <w:basedOn w:val="687"/>
    <w:link w:val="730"/>
    <w:pPr>
      <w:tabs>
        <w:tab w:val="center" w:pos="4677" w:leader="none"/>
        <w:tab w:val="right" w:pos="9355" w:leader="none"/>
      </w:tabs>
    </w:pPr>
  </w:style>
  <w:style w:type="character" w:styleId="730">
    <w:name w:val="Header"/>
    <w:basedOn w:val="688"/>
    <w:link w:val="729"/>
  </w:style>
  <w:style w:type="paragraph" w:styleId="731">
    <w:name w:val="toc 9"/>
    <w:next w:val="687"/>
    <w:link w:val="732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732">
    <w:name w:val="toc 9"/>
    <w:link w:val="731"/>
    <w:rPr>
      <w:rFonts w:ascii="XO Thames" w:hAnsi="XO Thames"/>
      <w:sz w:val="28"/>
    </w:rPr>
  </w:style>
  <w:style w:type="paragraph" w:styleId="733">
    <w:name w:val="toc 8"/>
    <w:next w:val="687"/>
    <w:link w:val="734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734">
    <w:name w:val="toc 8"/>
    <w:link w:val="733"/>
    <w:rPr>
      <w:rFonts w:ascii="XO Thames" w:hAnsi="XO Thames"/>
      <w:sz w:val="28"/>
    </w:rPr>
  </w:style>
  <w:style w:type="paragraph" w:styleId="735">
    <w:name w:val="toc 5"/>
    <w:next w:val="687"/>
    <w:link w:val="736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736">
    <w:name w:val="toc 5"/>
    <w:link w:val="735"/>
    <w:rPr>
      <w:rFonts w:ascii="XO Thames" w:hAnsi="XO Thames"/>
      <w:sz w:val="28"/>
    </w:rPr>
  </w:style>
  <w:style w:type="paragraph" w:styleId="737">
    <w:name w:val="Subtitle"/>
    <w:next w:val="687"/>
    <w:link w:val="73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38">
    <w:name w:val="Subtitle"/>
    <w:link w:val="737"/>
    <w:rPr>
      <w:rFonts w:ascii="XO Thames" w:hAnsi="XO Thames"/>
      <w:i/>
      <w:sz w:val="24"/>
    </w:rPr>
  </w:style>
  <w:style w:type="paragraph" w:styleId="739">
    <w:name w:val="Title"/>
    <w:next w:val="687"/>
    <w:link w:val="74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40">
    <w:name w:val="Title"/>
    <w:link w:val="739"/>
    <w:rPr>
      <w:rFonts w:ascii="XO Thames" w:hAnsi="XO Thames"/>
      <w:b/>
      <w:caps/>
      <w:sz w:val="40"/>
    </w:rPr>
  </w:style>
  <w:style w:type="paragraph" w:styleId="741">
    <w:name w:val="Heading 4"/>
    <w:next w:val="687"/>
    <w:link w:val="74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742">
    <w:name w:val="Heading 4"/>
    <w:link w:val="741"/>
    <w:rPr>
      <w:rFonts w:ascii="XO Thames" w:hAnsi="XO Thames"/>
      <w:b/>
      <w:sz w:val="24"/>
    </w:rPr>
  </w:style>
  <w:style w:type="paragraph" w:styleId="743">
    <w:name w:val="Heading 2"/>
    <w:next w:val="687"/>
    <w:link w:val="74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744">
    <w:name w:val="Heading 2"/>
    <w:link w:val="743"/>
    <w:rPr>
      <w:rFonts w:ascii="XO Thames" w:hAnsi="XO Thames"/>
      <w:b/>
      <w:sz w:val="28"/>
    </w:rPr>
  </w:style>
  <w:style w:type="table" w:styleId="745">
    <w:name w:val="Table Grid"/>
    <w:basedOn w:val="747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>
    <w:name w:val="Сетка таблицы светлая1"/>
    <w:basedOn w:val="747"/>
    <w:pPr>
      <w:spacing w:after="0" w:line="240" w:lineRule="auto"/>
    </w:p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74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2025-11-06T09:32:21Z</dcterms:modified>
</cp:coreProperties>
</file>