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44"/>
        <w:tblW w:w="0" w:type="auto"/>
        <w:tblInd w:w="-142" w:type="dxa"/>
        <w:tblBorders>
          <w:top w:val="none" w:color="000000" w:sz="4" w:space="0"/>
          <w:left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>
        <w:trPr>
          <w:trHeight w:val="1135" w:hRule="exact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spacing w:before="240"/>
            </w:pPr>
            <w:r/>
            <w:r/>
          </w:p>
        </w:tc>
      </w:tr>
      <w:tr>
        <w:trPr>
          <w:trHeight w:val="270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ind w:left="-78" w:right="178" w:firstLine="0"/>
              <w:spacing w:line="240" w:lineRule="exact"/>
            </w:pPr>
            <w:r>
              <w:t xml:space="preserve">Главам администраций</w:t>
            </w:r>
            <w:r/>
          </w:p>
          <w:p>
            <w:pPr>
              <w:ind w:left="-78" w:right="178" w:firstLine="0"/>
              <w:spacing w:line="240" w:lineRule="exact"/>
            </w:pPr>
            <w:r>
              <w:t xml:space="preserve">муниципальных образований  </w:t>
            </w:r>
            <w:r/>
          </w:p>
          <w:p>
            <w:pPr>
              <w:ind w:left="-78" w:right="178" w:firstLine="0"/>
              <w:spacing w:line="240" w:lineRule="exact"/>
            </w:pPr>
            <w:r>
              <w:t xml:space="preserve">Мокшанского района </w:t>
            </w:r>
            <w:r/>
          </w:p>
          <w:p>
            <w:pPr>
              <w:ind w:left="-78" w:right="178" w:firstLine="0"/>
              <w:spacing w:line="240" w:lineRule="exact"/>
            </w:pPr>
            <w:r>
              <w:t xml:space="preserve">Пензенской области (по списку)</w:t>
            </w:r>
            <w:r/>
          </w:p>
          <w:p>
            <w:pPr>
              <w:ind w:left="-78" w:right="178" w:firstLine="0"/>
              <w:spacing w:line="240" w:lineRule="exact"/>
            </w:pPr>
            <w:r/>
            <w:r/>
          </w:p>
        </w:tc>
      </w:tr>
      <w:tr>
        <w:trPr>
          <w:trHeight w:val="421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41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3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rPr>
                <w:sz w:val="18"/>
              </w:rPr>
            </w:pPr>
            <w:r>
              <w:rPr>
                <w:sz w:val="18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3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rPr>
          <w:trHeight w:val="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3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pPr>
        <w:contextualSpacing/>
        <w:ind w:left="0" w:firstLine="709"/>
        <w:jc w:val="both"/>
      </w:pPr>
      <w:r>
        <w:t xml:space="preserve">Направляю Вам для размещения в информационном бюллетене</w:t>
      </w:r>
      <w:r>
        <w:t xml:space="preserve">,</w:t>
      </w:r>
      <w:r>
        <w:t xml:space="preserve"> </w:t>
      </w:r>
      <w:r>
        <w:t xml:space="preserve">                             </w:t>
      </w:r>
      <w:r>
        <w:t xml:space="preserve">на официальном сайте </w:t>
      </w:r>
      <w:r>
        <w:t xml:space="preserve">и странице во </w:t>
      </w:r>
      <w:r>
        <w:t xml:space="preserve">ВКонтакте</w:t>
      </w:r>
      <w:r>
        <w:t xml:space="preserve"> </w:t>
      </w:r>
      <w:r>
        <w:t xml:space="preserve">администрации муниципального образования следующую </w:t>
      </w:r>
      <w:r>
        <w:t xml:space="preserve">разъяснительную </w:t>
      </w:r>
      <w:r>
        <w:t xml:space="preserve">информацию</w:t>
      </w:r>
      <w:r>
        <w:t xml:space="preserve">:</w:t>
      </w:r>
      <w:r>
        <w:t xml:space="preserve"> </w:t>
      </w:r>
      <w:r/>
    </w:p>
    <w:p>
      <w:pPr>
        <w:contextualSpacing/>
        <w:ind w:left="0" w:firstLine="709"/>
        <w:jc w:val="both"/>
      </w:pPr>
      <w:r/>
      <w:r/>
    </w:p>
    <w:p>
      <w:pPr>
        <w:contextualSpacing/>
        <w:ind w:left="0" w:firstLine="709"/>
        <w:jc w:val="both"/>
      </w:pPr>
      <w:r/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Уточнены особенности заключения договора о подключении газоиспользующего оборудования и объектов капитального строительства на территориях новых субъектов РФ</w:t>
      </w:r>
      <w:r/>
    </w:p>
    <w:tbl>
      <w:tblPr>
        <w:tblStyle w:val="743"/>
        <w:tblW w:w="0" w:type="auto"/>
        <w:tblLayout w:type="fixed"/>
        <w:tblLook w:val="04A0" w:firstRow="1" w:lastRow="0" w:firstColumn="1" w:lastColumn="0" w:noHBand="0" w:noVBand="1"/>
      </w:tblPr>
      <w:tblGrid>
        <w:gridCol w:w="180"/>
      </w:tblGrid>
      <w:tr>
        <w:trPr/>
        <w:tc>
          <w:tcPr>
            <w:tcW w:w="1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" cy="142875"/>
                      <wp:effectExtent l="0" t="0" r="0" b="0"/>
                      <wp:docPr id="1" name="Picture 4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3" hidden="0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9.0pt;height:11.2pt;mso-wrap-distance-left:0.0pt;mso-wrap-distance-top:0.0pt;mso-wrap-distance-right:0.0pt;mso-wrap-distance-bottom: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</w:tbl>
    <w:p>
      <w:pPr>
        <w:ind w:left="0" w:right="0" w:firstLine="567"/>
        <w:jc w:val="both"/>
        <w:spacing w:before="0" w:after="0"/>
        <w:rPr>
          <w:b w:val="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Постановлением Правительства РФ от 29.10.2025 N 1685 "О внесении изменения в постановление Правительства Российской Федерации от 8 июля 2023 г. N 1128" </w:t>
      </w:r>
      <w:r>
        <w:rPr>
          <w:b w:val="0"/>
        </w:rPr>
        <w:t xml:space="preserve">установлено, что при подаче заявки о заключении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 и заявки о заключении договора о подключении </w:t>
      </w:r>
      <w:r>
        <w:rPr>
          <w:b w:val="0"/>
        </w:rPr>
        <w:t xml:space="preserve">(технологическом присоединении) газоиспользующего оборудования к сети газораспределения в рамках догазификации, направляемых заявителем региональному оператору газификации или исполнителю в ДНР, ЛНР, Запорожской и Херсонской областях, в качестве документов</w:t>
      </w:r>
      <w:r>
        <w:rPr>
          <w:b w:val="0"/>
        </w:rPr>
        <w:t xml:space="preserve">, подтверждающих право собственности или иное предусмотренное законом право на объект капитального строительства, земельный участок, домовладение, допускается предоставление подтверждения уполномоченных исполнительных органов указанных новых субъектов РФ п</w:t>
      </w:r>
      <w:r>
        <w:rPr>
          <w:b w:val="0"/>
        </w:rPr>
        <w:t xml:space="preserve">одачи заявителем документов об оформлении (переоформлении) прав собственности на объект капитального строительства или домовладение или земельный участок, на котором расположен (будет располагаться) такой объект капитального строительства или домовладение.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both"/>
        <w:spacing w:before="0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Пленум Верховного Суда РФ актуализировал разъяснения практики применения судами законодательства о воинской обязанности, военной службе и статусе военнослужащих</w:t>
      </w:r>
      <w:r/>
    </w:p>
    <w:p>
      <w:pPr>
        <w:ind w:left="120" w:right="120" w:firstLine="0"/>
        <w:spacing w:before="120" w:after="120"/>
        <w:rPr>
          <w:sz w:val="17"/>
        </w:rPr>
      </w:pPr>
      <w:r>
        <w:rPr>
          <w:sz w:val="17"/>
        </w:rPr>
        <w:t xml:space="preserve"> </w:t>
      </w:r>
      <w:r/>
    </w:p>
    <w:tbl>
      <w:tblPr>
        <w:tblStyle w:val="743"/>
        <w:tblW w:w="0" w:type="auto"/>
        <w:tblLayout w:type="fixed"/>
        <w:tblLook w:val="04A0" w:firstRow="1" w:lastRow="0" w:firstColumn="1" w:lastColumn="0" w:noHBand="0" w:noVBand="1"/>
      </w:tblPr>
      <w:tblGrid>
        <w:gridCol w:w="180"/>
      </w:tblGrid>
      <w:tr>
        <w:trPr/>
        <w:tc>
          <w:tcPr>
            <w:tcW w:w="1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" cy="142875"/>
                      <wp:effectExtent l="0" t="0" r="0" b="0"/>
                      <wp:docPr id="2" name="Picture 6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5" hidden="0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.0pt;height:11.2pt;mso-wrap-distance-left:0.0pt;mso-wrap-distance-top:0.0pt;mso-wrap-distance-right:0.0pt;mso-wrap-distance-bottom:0.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</w:tbl>
    <w:p>
      <w:pPr>
        <w:ind w:left="-15" w:right="0" w:firstLine="582"/>
        <w:jc w:val="both"/>
        <w:spacing w:before="120" w:after="12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В соответствии с Постановлением Пленума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Верховного Суда РФ от 28.10.2025 N 21 "О внесении изменений в постановление Пленума Верховного Суда Российской Федерации от 29 мая 2014 года N 8 "О практике применения судами законодательства о воинской обязанности, военной службе и статусе военнослужащих"</w:t>
      </w:r>
      <w:r>
        <w:rPr>
          <w:b w:val="0"/>
        </w:rPr>
        <w:t xml:space="preserve"> судам следует иметь в виду, что применение дисциплинарного а</w:t>
      </w:r>
      <w:r>
        <w:rPr>
          <w:b w:val="0"/>
        </w:rPr>
        <w:t xml:space="preserve">реста в порядке, установленном Федеральным законом от 08.08.2024 N 231-ФЗ "Об особенностях применения и исполнения дисциплинарного ареста в отношении военнослужащих, принимающих участие в специальной военной операции", может быть оспорено в военном суде. В</w:t>
      </w:r>
      <w:r>
        <w:rPr>
          <w:b w:val="0"/>
        </w:rPr>
        <w:t xml:space="preserve">етераны во</w:t>
      </w:r>
      <w:r>
        <w:rPr>
          <w:b w:val="0"/>
        </w:rPr>
        <w:t xml:space="preserve">енной службы и ветераны боевых действий при обращении в суд за защитой своих прав, установленных законодательством о ветеранах, освобождаются от уплаты государственной пошлины с учетом положений, предусмотренных подпунктом 3 пункта 2 статьи 333.36 УК РФ. П</w:t>
      </w:r>
      <w:r>
        <w:rPr>
          <w:b w:val="0"/>
        </w:rPr>
        <w:t xml:space="preserve">еренос времени отдыха военнослужащего на следующий календарный год допускается в отношении как основного (дополнительного) отпуска, так и дополнительного времени (дополнительных суток) отдыха.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Закреплена возможность подачи заявления об оформлении российского гражданства, приобретенного по рождению, в электронной форме</w:t>
      </w:r>
      <w:r>
        <w:br/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Федеральный закон от 27.10.2025 N 396-ФЗ "О внесении изменений в статьи 13 и 32 Федерального закона "О гражданстве Российской Федерации" </w:t>
      </w:r>
      <w:r>
        <w:rPr>
          <w:b w:val="0"/>
        </w:rPr>
        <w:t xml:space="preserve">возможность подачи заявления об оформлении российского гражданства, приобретенного по рождению, в электронной форме.  </w:t>
      </w:r>
      <w:r>
        <w:rPr>
          <w:b w:val="0"/>
        </w:rPr>
        <w:t xml:space="preserve">Это можно будет сделать через территориальный орган МВД России. </w:t>
      </w:r>
      <w:r>
        <w:rPr>
          <w:b w:val="0"/>
        </w:rPr>
        <w:t xml:space="preserve">Также подписанным законом уполномоченные представители органов опеки и попечительства включены в перечень лиц, которые вправе подать такое заявление в отношении ребенка, имеющего право на российское гражданство по рождению. </w:t>
      </w:r>
      <w:r>
        <w:rPr>
          <w:b w:val="0"/>
        </w:rPr>
        <w:t xml:space="preserve">МВД России установит порядок подачи в его территориальные органы заявления об оформлении гражданства РФ, приобретенного по рождению, в электронной форме. 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Настоящий Федеральный закон вступает в силу по истечении 180 дней после дня его официального опубликования.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Даны разъяснения к изменениям, внесенным приказом Минпросвещения от 8 октября 2025 г. N 727 в порядок приема на обучение в общеобразовательные организации в части проведения тестирования иностранных граждан на знание русского языка</w:t>
      </w:r>
      <w:r>
        <w:br/>
      </w:r>
      <w:r/>
    </w:p>
    <w:p>
      <w:pPr>
        <w:ind w:left="0" w:right="0" w:firstLine="567"/>
        <w:jc w:val="both"/>
        <w:spacing w:before="0" w:after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В соответствии с Письмом Минпросвещения России от 22.10.2025 N ОК-3014/03 "О направлении разъяснения"</w:t>
      </w:r>
      <w:r>
        <w:rPr>
          <w:rFonts w:ascii="Times New Roman" w:hAnsi="Times New Roman"/>
          <w:sz w:val="28"/>
        </w:rPr>
        <w:t xml:space="preserve"> разъяснены следующие положения:</w:t>
      </w:r>
      <w:r/>
    </w:p>
    <w:p>
      <w:pPr>
        <w:ind w:left="0" w:right="0" w:firstLine="567"/>
        <w:jc w:val="both"/>
        <w:spacing w:before="0" w:after="0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иностранцы, обучающиеся в общеобразовательных организациях (1 - 11 классы), в рамках перевода из одной школы в другую зачисляются в новую школу без прохождения тестирования;</w:t>
      </w:r>
      <w:r/>
    </w:p>
    <w:p>
      <w:pPr>
        <w:ind w:left="0" w:right="0" w:firstLine="567"/>
        <w:jc w:val="both"/>
        <w:spacing w:before="0" w:after="0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также не проходят тестирование иностранные граждане и лица без гражданства, успешно прошедшие государственную итоговую аттестацию по образовательным программам основного общего образования, имеющие аттестат об основном общем образовании;</w:t>
      </w:r>
      <w:r/>
    </w:p>
    <w:p>
      <w:pPr>
        <w:ind w:left="0" w:right="0" w:firstLine="567"/>
        <w:jc w:val="both"/>
        <w:spacing w:before="0" w:after="0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в общеобразовательных организациях, в которых предусмотрено углубленное изучение отдельных учебных предметов, при приеме на обучение иностранцев помимо тестирования может проводиться индивидуальный отбор.</w:t>
      </w:r>
      <w:r/>
    </w:p>
    <w:p>
      <w:pPr>
        <w:ind w:left="0" w:right="0" w:firstLine="567"/>
        <w:jc w:val="both"/>
        <w:spacing w:before="0" w:after="0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Также приводятся: перечень категорий иностранных граждан, для которых тестирование проводится в устной форме; особенности прохождения тестирования детьми дипломатических работников; рекомендации по направлению иностранцев в общеобразовательные организации.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Закреплен порядок хранения и уничтожения в качестве вещественных доказательств изъятых из незаконного оборота метанола и метанолсодержащих жидкостей при производстве по уголовному делу</w:t>
      </w:r>
      <w:r>
        <w:br/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Федеральным законом от 27.10.2025 N 400-ФЗ "О внесении изменений в статьи 81 и 82 Уголовно-процессуального кодекса Российской Федерации" </w:t>
      </w:r>
      <w:r>
        <w:rPr>
          <w:b w:val="0"/>
        </w:rPr>
        <w:t xml:space="preserve">установлено, что вещественные доказательства в виде изъятых из незаконного оборота метанола и метанолсодержащих жидкостей, а т</w:t>
      </w:r>
      <w:r>
        <w:rPr>
          <w:b w:val="0"/>
        </w:rPr>
        <w:t xml:space="preserve">акже оборудования для производства продукции с их использованием фиксируются путем фотосъемки или видеозаписи, по возможности опечатываются и на период проведения необходимых исследований по решению дознавателя, следователя передаются на хранение в порядке</w:t>
      </w:r>
      <w:r>
        <w:rPr>
          <w:b w:val="0"/>
        </w:rPr>
        <w:t xml:space="preserve">, установленном Правительством РФ. К материалам уголовного дела приобщаются материалы фото- и видеофиксации указанных вещественных доказательств, а также может быть приобщен образец вещественного доказательства, достаточный для сравнительного исследования.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После получения результатов исследований по решению суда:</w:t>
      </w:r>
      <w:r>
        <w:br/>
      </w:r>
      <w:r>
        <w:rPr>
          <w:b w:val="0"/>
        </w:rPr>
        <w:t xml:space="preserve">метанол и метанолсодержащие жидкости направляются на уничтожение либо переработку и (или) использование в порядке, установленном Правительством РФ. О</w:t>
      </w:r>
      <w:r>
        <w:rPr>
          <w:b w:val="0"/>
        </w:rPr>
        <w:t xml:space="preserve">борудование для производства продукции с использованием метанола или метанолсодержащих жидкостей направляется на утилизацию в порядке, установленном Правительством РФ.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Федеральный закон вступает в силу по истечении 180 дней после дня его официального опубликования.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Ратифицирован Договор между Российской Федерацией и Боливарианской Республикой Венесуэла о стратегическом партнерстве и сотрудничестве</w:t>
      </w:r>
      <w:r>
        <w:br/>
      </w:r>
      <w:r/>
    </w:p>
    <w:p>
      <w:pPr>
        <w:ind w:left="-15" w:right="0" w:firstLine="582"/>
        <w:jc w:val="both"/>
        <w:spacing w:before="120" w:after="12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Принят Федеральный закон от 27.10.2025 N 380-ФЗ "О ратификации Договора между Российской Федерацией и Боливарианской Республикой Венесуэла о стратегическом партнерстве и сотрудничестве".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В частности, Договором, подписанны</w:t>
      </w:r>
      <w:r>
        <w:rPr>
          <w:b w:val="0"/>
        </w:rPr>
        <w:t xml:space="preserve">м в Москве 7 мая 2025 года, определены намерения сторон проводить совместную работу по повышению устойчивости национальных экономик путем расширения спектра направлений торгово-экономического сотрудничества, реализации совместных инвестиционных проектов в </w:t>
      </w:r>
      <w:r>
        <w:rPr>
          <w:b w:val="0"/>
        </w:rPr>
        <w:t xml:space="preserve">ключевых сферах; развивать сотрудничество в энергетической сфере; способствовать формированию независимой российско-венесуэльской финансовой структуры; содействовать созданию устойчивой к внешним ограничениям транспортно-логистической структуры; развивать </w:t>
      </w:r>
      <w:r>
        <w:rPr>
          <w:b w:val="0"/>
        </w:rPr>
        <w:t xml:space="preserve">сотрудничество в исследовании и использовании космического пространства в мирных целях; совершенствовать связи в сфере обороны и осуществлять военно-техническое сотрудничество в интересах укрепления обороноспособности и обеспечения безопасности двух стран.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Также предусматривается расширение сотрудничества в области здравоохранения, образования, науки, средств массовой информации, предупреждения и ликвидации чрезвычайных ситуаций, культуры, спорта.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С 1 января 2026 года расширяется перечень категорий медработников, переехавших на работу в ЗАТО, обслуживаемые ФГБУ, находящимися в ведении ФМБА России, которым предоставляются единовременные компенсационные выплаты</w:t>
      </w:r>
      <w:r>
        <w:br/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Согласно Постановлению Правительства РФ от 23.10.2025 N 1643 "О внесении изменений в постановление Правительства Российской Федерации от 23 декабря 2019 г. N 1774"</w:t>
      </w:r>
      <w:r>
        <w:rPr>
          <w:b w:val="0"/>
        </w:rPr>
        <w:t xml:space="preserve"> установлено, что медицинским работникам, впервые прибывшим (переехавшим) на работу в населенные пункты, расположенные на удаленных и труднодоступных территориях с опасными для здоровья человека ф</w:t>
      </w:r>
      <w:r>
        <w:rPr>
          <w:b w:val="0"/>
        </w:rPr>
        <w:t xml:space="preserve">изическими, химическими и биологическими факторами, включенных в перечень удаленных и труднодоступных территорий с опасными для здоровья человека физическими, химическими и биологическими факторами, подлежащих обслуживанию Федеральным медико-биологическим </w:t>
      </w:r>
      <w:r>
        <w:rPr>
          <w:b w:val="0"/>
        </w:rPr>
        <w:t xml:space="preserve">агентством, предоставляются единовременные компенсационные выплаты в размере 1,5 млн рублей для врачей и 0,75 млн рублей для фельдшеров, а также акушерок и медицинских сестер фельдшерско-акушерских пунктов, фельдшерских пунктов, фельдшерских здравпунктов. </w:t>
      </w:r>
      <w:r>
        <w:rPr>
          <w:b w:val="0"/>
        </w:rPr>
        <w:t xml:space="preserve">При соблюдении определенных условий медицинскому работнику по согласованию с ФМБА России допускается однократное изменение места работы с сохранением ранее полученной им единовременной компенсационной выплаты.</w:t>
      </w:r>
      <w:r/>
    </w:p>
    <w:p>
      <w:pPr>
        <w:ind w:left="0" w:right="0" w:firstLine="0"/>
        <w:jc w:val="both"/>
        <w:spacing w:before="0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Актуализировано Положение о федеральном государственном контроле (надзоре) в области защиты прав потребителей</w:t>
      </w:r>
      <w:r>
        <w:br/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Постановлением Правительства РФ от 15.10.2025 N 1605 внесены изменения в постановление Правительства Российской Федерации от 25 июня 2021 г. N 1005</w:t>
      </w:r>
      <w:r>
        <w:rPr>
          <w:b w:val="0"/>
        </w:rPr>
        <w:t xml:space="preserve">.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Внесенными изменениями, в частности: </w:t>
      </w:r>
      <w:r>
        <w:rPr>
          <w:b w:val="0"/>
        </w:rPr>
        <w:t xml:space="preserve">скорректирован порядок проведения профилактического визита и уточнены основания для проведения контрольных (надзорных) мероприятий; </w:t>
      </w:r>
      <w:r>
        <w:rPr>
          <w:b w:val="0"/>
        </w:rPr>
        <w:t xml:space="preserve">дополнены перечни контрольных действий, которые могут совершаться в ходе рейдовых осмотров и выездных проверок; </w:t>
      </w:r>
      <w:r>
        <w:rPr>
          <w:b w:val="0"/>
        </w:rPr>
        <w:t xml:space="preserve">уточнен порядок досудебного обжалования контролируемым лицом действий и решений должностных лиц контрольного (надзорного) органа; </w:t>
      </w:r>
      <w:r>
        <w:rPr>
          <w:b w:val="0"/>
        </w:rPr>
        <w:t xml:space="preserve">закреплена возможность проведения отдельных контрольных и профилактических мероприятий в том числе с использованием мобильного приложения "Инспектор"; </w:t>
      </w:r>
      <w:r>
        <w:rPr>
          <w:b w:val="0"/>
        </w:rPr>
        <w:t xml:space="preserve">установлен перечень видов предпринимательской деятельности, о начале осуществления которых юридические лица и индивидуальные предприниматели уведомляют Роспотребнадзор, в отношении которых предусмотрено проведение обязательного профилактического визита; </w:t>
      </w:r>
      <w:r>
        <w:rPr>
          <w:b w:val="0"/>
        </w:rPr>
        <w:t xml:space="preserve">в новой редакции изложен ключевой показатель федерального государственного контроля (надзора) в области защиты прав потребителей.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ФНС разъяснены условия применения пониженной ставки земельного налога в отношении земельных участков для сельскохозяйственного производства</w:t>
      </w:r>
      <w:r>
        <w:br/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В информации ФНС России "Как зависит применение налоговой ставки от использования для сельскохозяйственного производства участка из земель сельхозназначения" </w:t>
      </w:r>
      <w:r>
        <w:rPr>
          <w:b w:val="0"/>
        </w:rPr>
        <w:t xml:space="preserve">со</w:t>
      </w:r>
      <w:r>
        <w:rPr>
          <w:b w:val="0"/>
        </w:rPr>
        <w:t xml:space="preserve">общается, что применение пониженной ставки земельного налога зависит от фактического использования участков, относящихся к землям сельхозназначения или к землям в составе зон сельхозиспользования в населенных пунктах, кроме случаев, предусмотренных НК РФ. 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Если участки используются по целевому назначению для сельхозпроизводства, то ставка налога не может превышать 0,3% от кадастровой стоимости. 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В НК РФ отсутствует исчерпывающий перечень документов, подтверждающих использование налогооблагаемых земельных участков для сельскохозяйственного производства. В связи с этим применяются нормы иных отраслей законодательства РФ. </w:t>
      </w:r>
      <w:r>
        <w:rPr>
          <w:b w:val="0"/>
        </w:rPr>
        <w:t xml:space="preserve">Так, по Федеральному закону от 16.07.1998 N 101-ФЗ в Единую федеральную государственную информационную систему о землях сельх</w:t>
      </w:r>
      <w:r>
        <w:rPr>
          <w:b w:val="0"/>
        </w:rPr>
        <w:t xml:space="preserve">озназначения и землях, используемых или предоставленных для ведения сельского хозяйства, подлежат включению сведения о посеве (посадке) семян и (или) посадочного материала, а также сведения о результатах мониторинга состояния и использования таких земель. 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Минсельхоз России обеспе</w:t>
      </w:r>
      <w:r>
        <w:rPr>
          <w:b w:val="0"/>
        </w:rPr>
        <w:t xml:space="preserve">чивает ведение государственного реестра земель сельскохозяйственного назначения, содержащего свод достоверных систематизированных сведений о состоянии указанных земель и об их использовании. Его сведения предоставляются в виде паспорта земельного участка. </w:t>
      </w:r>
      <w:r>
        <w:rPr>
          <w:b w:val="0"/>
        </w:rPr>
        <w:t xml:space="preserve">Выписка и паспорта из указанных реестров могут использоваться для подтверждения условий п</w:t>
      </w:r>
      <w:r>
        <w:rPr>
          <w:b w:val="0"/>
        </w:rPr>
        <w:t xml:space="preserve">рименения пониженной ставки по земельному налогу. Это не исключает также возможности подтверждения использования налогооблагаемого земельного участка для сельскохозяйственного производства иными документами (сведениями), предусмотренными законодательством.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Рыбная продукция включена в перечень товаров, мониторинг цен на которые ведется на основе биржевых данных</w:t>
      </w:r>
      <w:r>
        <w:br/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Постановлением Правительства РФ от 17.10.2025 N 1617 внесены изменения в постановление Правительства Российской Федерации от 31 мая 2023 г. N 892</w:t>
      </w:r>
      <w:r>
        <w:rPr>
          <w:b w:val="0"/>
        </w:rPr>
        <w:t xml:space="preserve">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Речь идет о таких видах рыб, как минтай, треска, сель</w:t>
      </w:r>
      <w:r>
        <w:rPr>
          <w:b w:val="0"/>
        </w:rPr>
        <w:t xml:space="preserve">дь, пикша, скумбрия, а также кета, нерка и горбуша. Предоставлению бирже подлежит информация о внебиржевых договорах в отношении указанного товара, реализуемого на внутренний рынок РФ и на экспорт, при условии, что объем сделки составляет не менее 10 тонн.</w:t>
      </w:r>
      <w:r>
        <w:rPr>
          <w:b w:val="0"/>
        </w:rPr>
        <w:t xml:space="preserve">Настоящее постановление вступает в силу с 1 марта 2026 года, за исключением поло</w:t>
      </w:r>
      <w:r>
        <w:rPr>
          <w:b w:val="0"/>
        </w:rPr>
        <w:t xml:space="preserve">жения, для которого предусмотрен иной срок его вступления в силу. В период с 1 ноября 2025 года по 28 февраля 2026 года (включительно) предоставлять в реестр внебиржевых договоров информацию о заключенных внебиржевых договорах можно в добровольном порядке.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Разъяснено применение нормативных актов, регулирующих деятельность в области обращения с медицинскими отходами</w:t>
      </w:r>
      <w:r>
        <w:br/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В письме Минприроды России от 21.08.2025 N 25-47/35062 "О рассмотрении обращения"</w:t>
      </w:r>
      <w:r>
        <w:rPr>
          <w:b w:val="0"/>
        </w:rPr>
        <w:t xml:space="preserve"> сообщается, что Федеральным законом от 08.08.2024 N 306-ФЗ "О внесении изменений в отдельные законодательные акты Рос</w:t>
      </w:r>
      <w:r>
        <w:rPr>
          <w:b w:val="0"/>
        </w:rPr>
        <w:t xml:space="preserve">сийской Федерации" в Закон "Об отходах производства и потребления" внесены изменения, в соответствии с которыми к твердым коммунальным отходам в том числе отнесены эпидемиологически безопасные медицинские отходы, приближенные по составу к ТКО (класс "А"). 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С 01.09.2026 медицинские отходы классов "Б" </w:t>
      </w:r>
      <w:r>
        <w:rPr>
          <w:b w:val="0"/>
        </w:rPr>
        <w:t xml:space="preserve">и "В" подлежат обязательному обеззараживанию в соответствии с требованиями, установленными санитарными правилами: лицами, в результате деятельности которых образуются медицинские отходы, и иными лицами, осуществляющими обеззараживание медицинских отходов. </w:t>
      </w:r>
      <w:r>
        <w:rPr>
          <w:b w:val="0"/>
        </w:rPr>
        <w:t xml:space="preserve">Действие норм Закона "О</w:t>
      </w:r>
      <w:r>
        <w:rPr>
          <w:b w:val="0"/>
        </w:rPr>
        <w:t xml:space="preserve">б отходах производства и потребления" и принятых в его реализацию актов Правительства РФ, а также нормативных правовых актов Минприроды России в области обращения с отходами не распространяется на медицинские отходы классов "Б" и "В" после обеззараживания.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Установлен порядок предоставления дополнительных социальных гарантий чле</w:t>
      </w:r>
      <w:r>
        <w:rPr>
          <w:b/>
        </w:rPr>
        <w:t xml:space="preserve">нам семей сотрудников органов внутренних дел РФ, направленных в санаторно-курортные организации на медицинскую реабилитацию после лечения в связи с получением увечья либо заболевания при исполнении служебных обязанностей в ходе специальной военной операции</w:t>
      </w:r>
      <w:r>
        <w:br/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Приказом МВД России от 11.09.2025 N 688 утвержден Порядок предоставления дополнительных социальных гарантий, ус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тановленных Указом Президента Российской Федерации от 8 мая 2025 г. N 300 "О дополнительных социальных гарантиях членам семей военнослужащих, сотрудников некоторых федеральных государственных органов и граждан, пребывающих в добровольческих формированиях" 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Настоящий порядок регулирует вопросы реализации член</w:t>
      </w:r>
      <w:r>
        <w:rPr>
          <w:b w:val="0"/>
        </w:rPr>
        <w:t xml:space="preserve">ами семей указанных сотрудников органов внутренних дел права на: получение бесплатной путевки (с оказанием услуг по размещению и питанию) в санаторий (в том числе членам семей сотрудников, прикомандированных к ГФС России); проезд на безвозмездной основе в </w:t>
      </w:r>
      <w:r>
        <w:rPr>
          <w:b w:val="0"/>
        </w:rPr>
        <w:t xml:space="preserve">медицинскую организацию системы МВД России, осуществляющую лечение сотрудника в стационарных условиях, в целях его дальнейшего сопровождения в санаторий (в соответствии с заключением ВВК) и обратно либо проезд на безвозмездной основе в санаторий и обратно.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В приложении приводится рекомендуемый образец заявления о предоставлении бесплатной путевки (с оказанием услуг по размещению и питанию).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С 1 сентября 2026 года изменяется порядок лицензирования деятельности по управлению многоквартирными домами</w:t>
      </w:r>
      <w:r>
        <w:br/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Федеральным законом от 15.10.2025 N 375-ФЗ "О внесении изменений в Жилищный кодекс Российской Федерации"</w:t>
      </w:r>
      <w:r>
        <w:rPr>
          <w:b w:val="0"/>
        </w:rPr>
        <w:t xml:space="preserve"> изменен порядок лицензирования деятельности по управлению многоквартирными домами.</w:t>
      </w:r>
      <w:r/>
    </w:p>
    <w:p>
      <w:pPr>
        <w:ind w:left="-15" w:right="0" w:firstLine="582"/>
        <w:jc w:val="both"/>
        <w:spacing w:before="0" w:after="0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</w:pPr>
      <w:r>
        <w:rPr>
          <w:b w:val="0"/>
        </w:rPr>
        <w:t xml:space="preserve">Срок принятия решения о предоставлении лицензии или об отказе в ее предоставлении сокращается с 30 до 10 рабочих дней. Предусмотрен</w:t>
      </w:r>
      <w:r>
        <w:rPr>
          <w:b w:val="0"/>
        </w:rPr>
        <w:t xml:space="preserve">а возможность продления указанного срока не более чем на 5 рабочих дней в случае непоступления запрошенных органом государственного жилищного надзора документов (сведений) в целях оценки соответствия соискателя лицензии отдельным лицензионным требованиям. </w:t>
      </w:r>
      <w:r>
        <w:rPr>
          <w:b w:val="0"/>
        </w:rPr>
        <w:t xml:space="preserve">Уточнено, что лицензия предоставляется органом государственного жилищного надзора не на основании решения лицензионной комиссии субъекта РФ, а в порядке, установленном статьей 194 ЖК РФ. </w:t>
      </w:r>
      <w:r>
        <w:rPr>
          <w:b w:val="0"/>
        </w:rPr>
        <w:t xml:space="preserve">Предусмотрено, что заявление о предоставлении квалификационного аттестата, который обязаны иметь должностные лица лицензиата, может быть подано посредством единого портала госуслуг. </w:t>
      </w:r>
      <w:r>
        <w:rPr>
          <w:b w:val="0"/>
        </w:rPr>
        <w:t xml:space="preserve">Закреплено лицензионное требование о соответствии лицензиата, соискателя лицензии т</w:t>
      </w:r>
      <w:r>
        <w:rPr>
          <w:b w:val="0"/>
        </w:rPr>
        <w:t xml:space="preserve">ребованиям к персоналу и материально-техническому обеспечению лицензиата, соискателя лицензии, установленным Правительством РФ, которое может быть обеспечено в том числе наличием действующего договора (договоров) на оказание услуг и (или) выполнение работ.</w:t>
      </w:r>
      <w:r/>
    </w:p>
    <w:p>
      <w:pPr>
        <w:ind w:left="0" w:right="0" w:firstLine="0"/>
        <w:jc w:val="both"/>
        <w:spacing w:before="168" w:after="0"/>
        <w:rPr>
          <w:b w:val="0"/>
        </w:rPr>
      </w:pPr>
      <w:r>
        <w:rPr>
          <w:b w:val="0"/>
        </w:rPr>
      </w:r>
      <w:r/>
    </w:p>
    <w:p>
      <w:pPr>
        <w:ind w:left="0" w:right="0" w:firstLine="0"/>
        <w:jc w:val="center"/>
        <w:spacing w:before="0" w:after="0"/>
        <w:rPr>
          <w:b w:val="0"/>
        </w:rPr>
      </w:pPr>
      <w:r>
        <w:rPr>
          <w:b/>
        </w:rPr>
        <w:t xml:space="preserve">Разъяснены особенности размещения в государственной информационной системе жилищно-коммунального хозяйства (ГИС ЖКХ) протокола общего собрания собственников помещений в многоквартирном доме</w:t>
      </w:r>
      <w:r>
        <w:br/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В письме Минстроя России от 07.10.2025 N 59664-ДН/04 «О размещении в ГИС ЖКХ протокола ОСС» </w:t>
      </w:r>
      <w:r>
        <w:rPr>
          <w:b w:val="0"/>
        </w:rPr>
        <w:t xml:space="preserve">Сообщается, в частности, что согласно части 4 статьи</w:t>
      </w:r>
      <w:r>
        <w:rPr>
          <w:b w:val="0"/>
        </w:rPr>
        <w:t xml:space="preserve"> 45 ЖК РФ инициатор общего собрания собственников (далее - ОСС) обязан не позднее чем за десять дней до даты проведения ОСС разместить сообщение о его проведении в ГИС ЖКХ или в региональной информационной системе независимо от формы проведения такого ОСС.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Функционал </w:t>
      </w:r>
      <w:r>
        <w:rPr>
          <w:b w:val="0"/>
        </w:rPr>
        <w:t xml:space="preserve">ГИС ЖКХ при размещении сообщения о проведении ОСС обеспечивает формирование уникального идентификационного номера (далее - УИН), который впоследствии присваивается протоколу ОСС, проведенного в порядке, установленном указанным сообщением о проведении ОСС. </w:t>
      </w:r>
      <w:r>
        <w:rPr>
          <w:b w:val="0"/>
        </w:rPr>
        <w:t xml:space="preserve">Решение ОСС, принятое с нарушением порядка проведения ОСС, установленного статьей 45 ЖК РФ, не является ничтожным и может быть признано недействительным то</w:t>
      </w:r>
      <w:r>
        <w:rPr>
          <w:b w:val="0"/>
        </w:rPr>
        <w:t xml:space="preserve">лько решением суда. Следовательно, сам факт неразмещения инициатором ОСС сообщения о проведении ОСС в ГИС ЖКХ не является основанием для признания решений такого ОСС ничтожными. Указанные решения могут быть признаны недействительными только решением суда. </w:t>
      </w:r>
      <w:r>
        <w:rPr>
          <w:b w:val="0"/>
        </w:rPr>
        <w:t xml:space="preserve">Частью 1 с</w:t>
      </w:r>
      <w:r>
        <w:rPr>
          <w:b w:val="0"/>
        </w:rPr>
        <w:t xml:space="preserve">татьи 46 ЖК РФ обязанность по размещению в ГИС ЖКХ решений и протокола ОСС возложена именно на лицо, инициировавшее ОСС. Обязанность лица, осуществляющего управление многоквартирным домом, размещать в ГИС ЖКХ протокол ОСС положениями ЖК РФ не установлена. </w:t>
      </w:r>
      <w:r>
        <w:rPr>
          <w:b w:val="0"/>
        </w:rPr>
        <w:t xml:space="preserve">Вместе с тем, согласно пункту 36 части 1 статьи 6 Фе</w:t>
      </w:r>
      <w:r>
        <w:rPr>
          <w:b w:val="0"/>
        </w:rPr>
        <w:t xml:space="preserve">дерального закона от 21 июля 2014 г. N 209-ФЗ "О государственной информационной системе жилищно-коммунального хозяйства" в ГИС ЖКХ должна в числе прочего размещаться информация о проведении ОСС, общего собрания членов товариществ собственников жилья, общег</w:t>
      </w:r>
      <w:r>
        <w:rPr>
          <w:b w:val="0"/>
        </w:rPr>
        <w:t xml:space="preserve">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В силу части 18 статьи 7 Закона N 209-ФЗ информацию, предусмотренную пунктом 36 части 1 статьи 6 Закона N 209-ФЗ, размещают в </w:t>
      </w:r>
      <w:r>
        <w:rPr>
          <w:b w:val="0"/>
        </w:rPr>
        <w:t xml:space="preserve">ГИС ЖКХ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услуг.</w:t>
      </w:r>
      <w:r>
        <w:rPr>
          <w:b w:val="0"/>
        </w:rPr>
        <w:t xml:space="preserve">Приказом Минстроя России от 7 февраля 2024 г. N 79/пр установлены </w:t>
      </w:r>
      <w:r>
        <w:rPr>
          <w:b w:val="0"/>
        </w:rPr>
        <w:t xml:space="preserve">состав, сроки и периодичность размещения информации поставщиками информации в ГИС ЖКХ, обязательное размещение которой предусмотрено Федеральным законом от 21 июля 2014 г. N 209-ФЗ "О государственной информационной системе жилищно-коммунального хозяйства".</w:t>
      </w:r>
      <w:r/>
    </w:p>
    <w:p>
      <w:pPr>
        <w:ind w:left="0" w:right="0" w:firstLine="567"/>
        <w:jc w:val="both"/>
        <w:spacing w:before="0" w:after="0"/>
        <w:rPr>
          <w:b w:val="0"/>
        </w:rPr>
      </w:pPr>
      <w:r>
        <w:rPr>
          <w:b w:val="0"/>
        </w:rPr>
        <w:t xml:space="preserve">В соответствии с пунктами</w:t>
      </w:r>
      <w:r>
        <w:rPr>
          <w:b w:val="0"/>
        </w:rPr>
        <w:t xml:space="preserve"> 18 и 18.3 главы XI Состава информации N 79/пр лицо, осуществляющее управление многоквартирным домом, размещает в ГИС ЖКХ протокол ОСС в том числе в случае, если указанное лицо не является инициатором ОСС, но получило протокол ОСС от инициатора такого ОСС.</w:t>
      </w:r>
      <w:r>
        <w:rPr>
          <w:b w:val="0"/>
        </w:rPr>
        <w:t xml:space="preserve">В настоящее время принимаются меры, направленные на обеспечение технической возможности размещения в ГИС ЖКХ протокола ОСС с присвоением такому протоколу УИН в ГИС ЖКХ в случае, если сообщение о проведении указанного ОСС </w:t>
      </w:r>
      <w:r>
        <w:rPr>
          <w:b w:val="0"/>
        </w:rPr>
        <w:t xml:space="preserve">не размещено в ГИС ЖКХ, а также технической возможности размещения в ГИС ЖКХ протокола ОСС лицом, осуществляющим управление многоквартирным домом, в случае если указанное лицо не является инициатором ОСС, но получило протокол ОСС от инициатора такого ОСС. </w:t>
      </w:r>
      <w:r>
        <w:t xml:space="preserve"> </w:t>
      </w:r>
      <w:r/>
    </w:p>
    <w:p>
      <w:pPr>
        <w:ind w:left="0" w:firstLine="709"/>
        <w:spacing w:line="240" w:lineRule="exact"/>
      </w:pPr>
      <w:r/>
      <w:r/>
    </w:p>
    <w:p>
      <w:pPr>
        <w:ind w:left="0" w:firstLine="709"/>
        <w:spacing w:line="240" w:lineRule="exact"/>
      </w:pPr>
      <w:r/>
      <w:r/>
    </w:p>
    <w:tbl>
      <w:tblPr>
        <w:tblStyle w:val="74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515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486" w:type="dxa"/>
            <w:vAlign w:val="bottom"/>
            <w:textDirection w:val="lrTb"/>
            <w:noWrap w:val="false"/>
          </w:tcPr>
          <w:p>
            <w:pPr>
              <w:spacing w:line="240" w:lineRule="exact"/>
            </w:pPr>
            <w:r>
              <w:t xml:space="preserve">И.о. прокурора района</w:t>
            </w:r>
            <w:r/>
          </w:p>
          <w:p>
            <w:pPr>
              <w:spacing w:line="240" w:lineRule="exact"/>
            </w:pPr>
            <w:r/>
            <w:r/>
          </w:p>
          <w:p>
            <w:pPr>
              <w:spacing w:line="240" w:lineRule="exact"/>
            </w:pPr>
            <w:r>
              <w:t xml:space="preserve">советник юстиции</w:t>
            </w:r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53" w:type="dxa"/>
            <w:vAlign w:val="bottom"/>
            <w:textDirection w:val="lrTb"/>
            <w:noWrap w:val="false"/>
          </w:tcPr>
          <w:p>
            <w:pPr>
              <w:ind w:left="0" w:right="-111" w:firstLine="709"/>
              <w:jc w:val="right"/>
              <w:spacing w:line="240" w:lineRule="exact"/>
            </w:pPr>
            <w:r/>
            <w:bookmarkStart w:id="3" w:name="SIGNERNAME1"/>
            <w:r/>
            <w:bookmarkEnd w:id="3"/>
            <w:r/>
            <w:r/>
          </w:p>
        </w:tc>
      </w:tr>
    </w:tbl>
    <w:p>
      <w:pPr>
        <w:ind w:left="3545" w:firstLine="709"/>
        <w:spacing w:before="240"/>
        <w:rPr>
          <w:color w:val="d9d9d9" w:themeColor="background1" w:themeShade="D9"/>
        </w:rPr>
      </w:pPr>
      <w:r/>
      <w:bookmarkStart w:id="4" w:name="SIGNERSTAMP1"/>
      <w:r>
        <w:rPr>
          <w:color w:val="d9d9d9" w:themeColor="background1" w:themeShade="D9"/>
        </w:rPr>
        <w:t xml:space="preserve">штамп подписи </w:t>
      </w:r>
      <w:r>
        <w:rPr>
          <w:color w:val="d9d9d9" w:themeColor="background1" w:themeShade="D9"/>
        </w:rPr>
        <w:t xml:space="preserve">1</w:t>
      </w:r>
      <w:bookmarkEnd w:id="4"/>
      <w:r/>
      <w:r/>
    </w:p>
    <w:p>
      <w:pPr>
        <w:rPr>
          <w:sz w:val="22"/>
        </w:rPr>
      </w:pPr>
      <w:r>
        <w:rPr>
          <w:sz w:val="22"/>
        </w:rPr>
      </w:r>
      <w:r/>
    </w:p>
    <w:p>
      <w:pPr>
        <w:rPr>
          <w:sz w:val="22"/>
        </w:rPr>
      </w:pPr>
      <w:r>
        <w:rPr>
          <w:sz w:val="22"/>
        </w:rPr>
      </w:r>
      <w:r/>
    </w:p>
    <w:p>
      <w:pPr>
        <w:rPr>
          <w:sz w:val="22"/>
        </w:rPr>
      </w:pPr>
      <w:r>
        <w:rPr>
          <w:sz w:val="22"/>
        </w:rPr>
        <w:t xml:space="preserve">Олунина Т.А., 2-24-69</w:t>
      </w:r>
      <w:r/>
    </w:p>
    <w:p>
      <w:pPr>
        <w:jc w:val="both"/>
        <w:rPr>
          <w:sz w:val="20"/>
        </w:rPr>
      </w:pPr>
      <w:r/>
      <w:bookmarkStart w:id="5" w:name="_GoBack"/>
      <w:r/>
      <w:bookmarkEnd w:id="5"/>
      <w:r/>
      <w:r/>
    </w:p>
    <w:sectPr>
      <w:headerReference w:type="default" r:id="rId8"/>
      <w:footerReference w:type="first" r:id="rId9"/>
      <w:footnotePr/>
      <w:endnotePr/>
      <w:type w:val="nextPage"/>
      <w:pgSz w:w="11906" w:h="16838" w:orient="portrait"/>
      <w:pgMar w:top="709" w:right="425" w:bottom="1814" w:left="1559" w:header="680" w:footer="516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302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44"/>
      <w:tblpPr w:horzAnchor="margin" w:tblpXSpec="left" w:vertAnchor="margin" w:tblpYSpec="bottom" w:leftFromText="113" w:topFromText="0" w:rightFromText="113" w:bottomFromText="0"/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20"/>
      <w:gridCol w:w="3501"/>
    </w:tblGrid>
    <w:tr>
      <w:trPr>
        <w:trHeight w:val="552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Mar>
            <w:left w:w="0" w:type="dxa"/>
            <w:right w:w="0" w:type="dxa"/>
          </w:tcMar>
          <w:tcW w:w="6420" w:type="dxa"/>
          <w:textDirection w:val="lrTb"/>
          <w:noWrap w:val="false"/>
        </w:tcPr>
        <w:p>
          <w:pPr>
            <w:spacing w:line="240" w:lineRule="exact"/>
            <w:rPr>
              <w:sz w:val="22"/>
            </w:rPr>
          </w:pPr>
          <w:r>
            <w:rPr>
              <w:sz w:val="22"/>
            </w:rPr>
          </w:r>
          <w:r/>
        </w:p>
      </w:tc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single" w:color="000000" w:sz="4" w:space="0"/>
            <w:right w:val="none" w:color="000000" w:sz="4" w:space="0"/>
          </w:tcBorders>
          <w:tcMar>
            <w:left w:w="0" w:type="dxa"/>
            <w:right w:w="0" w:type="dxa"/>
          </w:tcMar>
          <w:tcW w:w="3501" w:type="dxa"/>
          <w:vAlign w:val="center"/>
          <w:textDirection w:val="lrTb"/>
          <w:noWrap w:val="false"/>
        </w:tcPr>
        <w:p>
          <w:pPr>
            <w:rPr>
              <w:sz w:val="18"/>
            </w:rPr>
          </w:pPr>
          <w:r>
            <w:rPr>
              <w:sz w:val="18"/>
            </w:rPr>
          </w:r>
          <w:r/>
        </w:p>
      </w:tc>
    </w:tr>
    <w:tr>
      <w:trPr>
        <w:trHeight w:val="552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000000" w:sz="4" w:space="0"/>
          </w:tcBorders>
          <w:tcMar>
            <w:left w:w="0" w:type="dxa"/>
            <w:right w:w="0" w:type="dxa"/>
          </w:tcMar>
          <w:tcW w:w="6420" w:type="dxa"/>
          <w:textDirection w:val="lrTb"/>
          <w:noWrap w:val="false"/>
        </w:tcPr>
        <w:p>
          <w:pPr>
            <w:spacing w:line="240" w:lineRule="exact"/>
            <w:rPr>
              <w:sz w:val="22"/>
            </w:rPr>
          </w:pPr>
          <w:r>
            <w:rPr>
              <w:sz w:val="22"/>
            </w:rPr>
          </w:r>
          <w:r/>
        </w:p>
      </w:tc>
      <w:tc>
        <w:tcPr>
          <w:shd w:val="clear" w:color="auto" w:fill="auto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left w:w="0" w:type="dxa"/>
            <w:right w:w="0" w:type="dxa"/>
          </w:tcMar>
          <w:tcW w:w="3501" w:type="dxa"/>
          <w:vAlign w:val="center"/>
          <w:textDirection w:val="lrTb"/>
          <w:noWrap w:val="false"/>
        </w:tcPr>
        <w:p>
          <w:pPr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</w:t>
          </w:r>
          <w:r>
            <w:rPr>
              <w:sz w:val="18"/>
            </w:rPr>
            <w:t xml:space="preserve">Мокшан</w:t>
          </w:r>
          <w:r>
            <w:rPr>
              <w:sz w:val="18"/>
            </w:rPr>
            <w:t xml:space="preserve">ского</w:t>
          </w:r>
          <w:r>
            <w:rPr>
              <w:sz w:val="18"/>
            </w:rPr>
            <w:t xml:space="preserve"> района </w:t>
          </w:r>
          <w:r>
            <w:rPr>
              <w:sz w:val="18"/>
            </w:rPr>
            <w:t xml:space="preserve">Пензенской области</w:t>
          </w:r>
          <w:r/>
        </w:p>
        <w:p>
          <w:pPr>
            <w:rPr>
              <w:sz w:val="18"/>
            </w:rPr>
          </w:pPr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№</w:t>
          </w:r>
          <w:bookmarkStart w:id="1" w:name="REGNUMSTAMP"/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ШтампРегномер</w:t>
          </w:r>
          <w:bookmarkEnd w:id="1"/>
          <w:r/>
          <w:r/>
        </w:p>
      </w:tc>
    </w:tr>
  </w:tbl>
  <w:p>
    <w:pPr>
      <w:pStyle w:val="71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3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4"/>
    <w:link w:val="71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4"/>
    <w:link w:val="74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4"/>
    <w:link w:val="70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4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4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8"/>
    <w:next w:val="68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8"/>
    <w:next w:val="68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8"/>
    <w:next w:val="68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8"/>
    <w:next w:val="68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4"/>
    <w:link w:val="738"/>
    <w:uiPriority w:val="10"/>
    <w:rPr>
      <w:sz w:val="48"/>
      <w:szCs w:val="48"/>
    </w:rPr>
  </w:style>
  <w:style w:type="character" w:styleId="37">
    <w:name w:val="Subtitle Char"/>
    <w:basedOn w:val="694"/>
    <w:link w:val="736"/>
    <w:uiPriority w:val="11"/>
    <w:rPr>
      <w:sz w:val="24"/>
      <w:szCs w:val="24"/>
    </w:rPr>
  </w:style>
  <w:style w:type="paragraph" w:styleId="38">
    <w:name w:val="Quote"/>
    <w:basedOn w:val="688"/>
    <w:next w:val="68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8"/>
    <w:next w:val="68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4"/>
    <w:link w:val="732"/>
    <w:uiPriority w:val="99"/>
  </w:style>
  <w:style w:type="character" w:styleId="45">
    <w:name w:val="Footer Char"/>
    <w:basedOn w:val="694"/>
    <w:link w:val="712"/>
    <w:uiPriority w:val="99"/>
  </w:style>
  <w:style w:type="paragraph" w:styleId="46">
    <w:name w:val="Caption"/>
    <w:basedOn w:val="688"/>
    <w:next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2"/>
    <w:uiPriority w:val="99"/>
  </w:style>
  <w:style w:type="table" w:styleId="49">
    <w:name w:val="Table Grid Light"/>
    <w:basedOn w:val="7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8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7" w:default="1">
    <w:name w:val="Normal"/>
    <w:link w:val="688"/>
    <w:uiPriority w:val="0"/>
    <w:qFormat/>
    <w:pPr>
      <w:spacing w:after="0" w:line="240" w:lineRule="auto"/>
    </w:pPr>
    <w:rPr>
      <w:rFonts w:ascii="Times New Roman" w:hAnsi="Times New Roman"/>
      <w:sz w:val="28"/>
    </w:rPr>
  </w:style>
  <w:style w:type="character" w:styleId="688" w:default="1">
    <w:name w:val="Normal"/>
    <w:link w:val="687"/>
    <w:rPr>
      <w:rFonts w:ascii="Times New Roman" w:hAnsi="Times New Roman"/>
      <w:sz w:val="28"/>
    </w:rPr>
  </w:style>
  <w:style w:type="paragraph" w:styleId="689">
    <w:name w:val="toc 2"/>
    <w:next w:val="687"/>
    <w:link w:val="69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90">
    <w:name w:val="toc 2"/>
    <w:link w:val="689"/>
    <w:rPr>
      <w:rFonts w:ascii="XO Thames" w:hAnsi="XO Thames"/>
      <w:sz w:val="28"/>
    </w:rPr>
  </w:style>
  <w:style w:type="paragraph" w:styleId="691">
    <w:name w:val="toc 4"/>
    <w:next w:val="687"/>
    <w:link w:val="69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92">
    <w:name w:val="toc 4"/>
    <w:link w:val="691"/>
    <w:rPr>
      <w:rFonts w:ascii="XO Thames" w:hAnsi="XO Thames"/>
      <w:sz w:val="28"/>
    </w:rPr>
  </w:style>
  <w:style w:type="paragraph" w:styleId="693">
    <w:name w:val="Default Paragraph Font"/>
    <w:link w:val="694"/>
  </w:style>
  <w:style w:type="character" w:styleId="694">
    <w:name w:val="Default Paragraph Font"/>
    <w:link w:val="693"/>
  </w:style>
  <w:style w:type="paragraph" w:styleId="695">
    <w:name w:val="toc 6"/>
    <w:next w:val="687"/>
    <w:link w:val="69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96">
    <w:name w:val="toc 6"/>
    <w:link w:val="695"/>
    <w:rPr>
      <w:rFonts w:ascii="XO Thames" w:hAnsi="XO Thames"/>
      <w:sz w:val="28"/>
    </w:rPr>
  </w:style>
  <w:style w:type="paragraph" w:styleId="697">
    <w:name w:val="toc 7"/>
    <w:next w:val="687"/>
    <w:link w:val="69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98">
    <w:name w:val="toc 7"/>
    <w:link w:val="697"/>
    <w:rPr>
      <w:rFonts w:ascii="XO Thames" w:hAnsi="XO Thames"/>
      <w:sz w:val="28"/>
    </w:rPr>
  </w:style>
  <w:style w:type="paragraph" w:styleId="699">
    <w:name w:val="Endnote"/>
    <w:link w:val="700"/>
    <w:pPr>
      <w:ind w:left="0" w:firstLine="851"/>
      <w:jc w:val="both"/>
    </w:pPr>
    <w:rPr>
      <w:rFonts w:ascii="XO Thames" w:hAnsi="XO Thames"/>
      <w:sz w:val="22"/>
    </w:rPr>
  </w:style>
  <w:style w:type="character" w:styleId="700">
    <w:name w:val="Endnote"/>
    <w:link w:val="699"/>
    <w:rPr>
      <w:rFonts w:ascii="XO Thames" w:hAnsi="XO Thames"/>
      <w:sz w:val="22"/>
    </w:rPr>
  </w:style>
  <w:style w:type="paragraph" w:styleId="701">
    <w:name w:val="Heading 3"/>
    <w:next w:val="687"/>
    <w:link w:val="70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702">
    <w:name w:val="Heading 3"/>
    <w:link w:val="701"/>
    <w:rPr>
      <w:rFonts w:ascii="XO Thames" w:hAnsi="XO Thames"/>
      <w:b/>
      <w:sz w:val="26"/>
    </w:rPr>
  </w:style>
  <w:style w:type="paragraph" w:styleId="703">
    <w:name w:val="Normal (Web)"/>
    <w:basedOn w:val="687"/>
    <w:link w:val="704"/>
    <w:pPr>
      <w:spacing w:beforeAutospacing="1" w:afterAutospacing="1"/>
    </w:pPr>
    <w:rPr>
      <w:sz w:val="24"/>
    </w:rPr>
  </w:style>
  <w:style w:type="character" w:styleId="704">
    <w:name w:val="Normal (Web)"/>
    <w:basedOn w:val="688"/>
    <w:link w:val="703"/>
    <w:rPr>
      <w:sz w:val="24"/>
    </w:rPr>
  </w:style>
  <w:style w:type="paragraph" w:styleId="705">
    <w:name w:val="ConsPlusNormal"/>
    <w:link w:val="706"/>
    <w:pPr>
      <w:ind w:left="0" w:firstLine="720"/>
      <w:spacing w:after="0" w:line="240" w:lineRule="auto"/>
      <w:widowControl w:val="off"/>
    </w:pPr>
    <w:rPr>
      <w:rFonts w:ascii="Arial" w:hAnsi="Arial"/>
      <w:sz w:val="20"/>
    </w:rPr>
  </w:style>
  <w:style w:type="character" w:styleId="706">
    <w:name w:val="ConsPlusNormal"/>
    <w:link w:val="705"/>
    <w:rPr>
      <w:rFonts w:ascii="Arial" w:hAnsi="Arial"/>
      <w:sz w:val="20"/>
    </w:rPr>
  </w:style>
  <w:style w:type="paragraph" w:styleId="707">
    <w:name w:val="toc 3"/>
    <w:next w:val="687"/>
    <w:link w:val="708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708">
    <w:name w:val="toc 3"/>
    <w:link w:val="707"/>
    <w:rPr>
      <w:rFonts w:ascii="XO Thames" w:hAnsi="XO Thames"/>
      <w:sz w:val="28"/>
    </w:rPr>
  </w:style>
  <w:style w:type="paragraph" w:styleId="709">
    <w:name w:val="Heading 5"/>
    <w:next w:val="687"/>
    <w:link w:val="710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710">
    <w:name w:val="Heading 5"/>
    <w:link w:val="709"/>
    <w:rPr>
      <w:rFonts w:ascii="XO Thames" w:hAnsi="XO Thames"/>
      <w:b/>
      <w:sz w:val="22"/>
    </w:rPr>
  </w:style>
  <w:style w:type="paragraph" w:styleId="711">
    <w:name w:val="Footer"/>
    <w:basedOn w:val="687"/>
    <w:link w:val="712"/>
    <w:pPr>
      <w:tabs>
        <w:tab w:val="center" w:pos="4677" w:leader="none"/>
        <w:tab w:val="right" w:pos="9355" w:leader="none"/>
      </w:tabs>
    </w:pPr>
  </w:style>
  <w:style w:type="character" w:styleId="712">
    <w:name w:val="Footer"/>
    <w:basedOn w:val="688"/>
    <w:link w:val="711"/>
  </w:style>
  <w:style w:type="paragraph" w:styleId="713">
    <w:name w:val="Balloon Text"/>
    <w:basedOn w:val="687"/>
    <w:link w:val="714"/>
    <w:rPr>
      <w:rFonts w:ascii="Segoe UI" w:hAnsi="Segoe UI"/>
      <w:sz w:val="18"/>
    </w:rPr>
  </w:style>
  <w:style w:type="character" w:styleId="714">
    <w:name w:val="Balloon Text"/>
    <w:basedOn w:val="688"/>
    <w:link w:val="713"/>
    <w:rPr>
      <w:rFonts w:ascii="Segoe UI" w:hAnsi="Segoe UI"/>
      <w:sz w:val="18"/>
    </w:rPr>
  </w:style>
  <w:style w:type="paragraph" w:styleId="715">
    <w:name w:val="Heading 1"/>
    <w:next w:val="687"/>
    <w:link w:val="71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716">
    <w:name w:val="Heading 1"/>
    <w:link w:val="715"/>
    <w:rPr>
      <w:rFonts w:ascii="XO Thames" w:hAnsi="XO Thames"/>
      <w:b/>
      <w:sz w:val="32"/>
    </w:rPr>
  </w:style>
  <w:style w:type="paragraph" w:styleId="717">
    <w:name w:val="Hyperlink"/>
    <w:link w:val="718"/>
    <w:rPr>
      <w:color w:val="0000ff"/>
      <w:u w:val="single"/>
    </w:rPr>
  </w:style>
  <w:style w:type="character" w:styleId="718">
    <w:name w:val="Hyperlink"/>
    <w:link w:val="717"/>
    <w:rPr>
      <w:color w:val="0000ff"/>
      <w:u w:val="single"/>
    </w:rPr>
  </w:style>
  <w:style w:type="paragraph" w:styleId="719">
    <w:name w:val="Footnote"/>
    <w:link w:val="720"/>
    <w:pPr>
      <w:ind w:left="0" w:firstLine="851"/>
      <w:jc w:val="both"/>
    </w:pPr>
    <w:rPr>
      <w:rFonts w:ascii="XO Thames" w:hAnsi="XO Thames"/>
      <w:sz w:val="22"/>
    </w:rPr>
  </w:style>
  <w:style w:type="character" w:styleId="720">
    <w:name w:val="Footnote"/>
    <w:link w:val="719"/>
    <w:rPr>
      <w:rFonts w:ascii="XO Thames" w:hAnsi="XO Thames"/>
      <w:sz w:val="22"/>
    </w:rPr>
  </w:style>
  <w:style w:type="paragraph" w:styleId="721">
    <w:name w:val="toc 1"/>
    <w:next w:val="687"/>
    <w:link w:val="72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722">
    <w:name w:val="toc 1"/>
    <w:link w:val="721"/>
    <w:rPr>
      <w:rFonts w:ascii="XO Thames" w:hAnsi="XO Thames"/>
      <w:b/>
      <w:sz w:val="28"/>
    </w:rPr>
  </w:style>
  <w:style w:type="paragraph" w:styleId="723">
    <w:name w:val="Header and Footer"/>
    <w:link w:val="724"/>
    <w:pPr>
      <w:jc w:val="both"/>
      <w:spacing w:line="240" w:lineRule="auto"/>
    </w:pPr>
    <w:rPr>
      <w:rFonts w:ascii="XO Thames" w:hAnsi="XO Thames"/>
      <w:sz w:val="28"/>
    </w:rPr>
  </w:style>
  <w:style w:type="character" w:styleId="724">
    <w:name w:val="Header and Footer"/>
    <w:link w:val="723"/>
    <w:rPr>
      <w:rFonts w:ascii="XO Thames" w:hAnsi="XO Thames"/>
      <w:sz w:val="28"/>
    </w:rPr>
  </w:style>
  <w:style w:type="paragraph" w:styleId="725">
    <w:name w:val="toc 9"/>
    <w:next w:val="687"/>
    <w:link w:val="72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726">
    <w:name w:val="toc 9"/>
    <w:link w:val="725"/>
    <w:rPr>
      <w:rFonts w:ascii="XO Thames" w:hAnsi="XO Thames"/>
      <w:sz w:val="28"/>
    </w:rPr>
  </w:style>
  <w:style w:type="paragraph" w:styleId="727">
    <w:name w:val="List Paragraph"/>
    <w:basedOn w:val="687"/>
    <w:link w:val="728"/>
    <w:pPr>
      <w:contextualSpacing/>
      <w:ind w:left="720" w:firstLine="0"/>
    </w:pPr>
  </w:style>
  <w:style w:type="character" w:styleId="728">
    <w:name w:val="List Paragraph"/>
    <w:basedOn w:val="688"/>
    <w:link w:val="727"/>
  </w:style>
  <w:style w:type="paragraph" w:styleId="729">
    <w:name w:val="toc 8"/>
    <w:next w:val="687"/>
    <w:link w:val="73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730">
    <w:name w:val="toc 8"/>
    <w:link w:val="729"/>
    <w:rPr>
      <w:rFonts w:ascii="XO Thames" w:hAnsi="XO Thames"/>
      <w:sz w:val="28"/>
    </w:rPr>
  </w:style>
  <w:style w:type="paragraph" w:styleId="731">
    <w:name w:val="Header"/>
    <w:basedOn w:val="687"/>
    <w:link w:val="732"/>
    <w:pPr>
      <w:tabs>
        <w:tab w:val="center" w:pos="4677" w:leader="none"/>
        <w:tab w:val="right" w:pos="9355" w:leader="none"/>
      </w:tabs>
    </w:pPr>
  </w:style>
  <w:style w:type="character" w:styleId="732">
    <w:name w:val="Header"/>
    <w:basedOn w:val="688"/>
    <w:link w:val="731"/>
  </w:style>
  <w:style w:type="paragraph" w:styleId="733">
    <w:name w:val="toc 5"/>
    <w:next w:val="687"/>
    <w:link w:val="734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734">
    <w:name w:val="toc 5"/>
    <w:link w:val="733"/>
    <w:rPr>
      <w:rFonts w:ascii="XO Thames" w:hAnsi="XO Thames"/>
      <w:sz w:val="28"/>
    </w:rPr>
  </w:style>
  <w:style w:type="paragraph" w:styleId="735">
    <w:name w:val="Subtitle"/>
    <w:next w:val="687"/>
    <w:link w:val="73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36">
    <w:name w:val="Subtitle"/>
    <w:link w:val="735"/>
    <w:rPr>
      <w:rFonts w:ascii="XO Thames" w:hAnsi="XO Thames"/>
      <w:i/>
      <w:sz w:val="24"/>
    </w:rPr>
  </w:style>
  <w:style w:type="paragraph" w:styleId="737">
    <w:name w:val="Title"/>
    <w:next w:val="687"/>
    <w:link w:val="73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38">
    <w:name w:val="Title"/>
    <w:link w:val="737"/>
    <w:rPr>
      <w:rFonts w:ascii="XO Thames" w:hAnsi="XO Thames"/>
      <w:b/>
      <w:caps/>
      <w:sz w:val="40"/>
    </w:rPr>
  </w:style>
  <w:style w:type="paragraph" w:styleId="739">
    <w:name w:val="Heading 4"/>
    <w:next w:val="687"/>
    <w:link w:val="740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740">
    <w:name w:val="Heading 4"/>
    <w:link w:val="739"/>
    <w:rPr>
      <w:rFonts w:ascii="XO Thames" w:hAnsi="XO Thames"/>
      <w:b/>
      <w:sz w:val="24"/>
    </w:rPr>
  </w:style>
  <w:style w:type="paragraph" w:styleId="741">
    <w:name w:val="Heading 2"/>
    <w:next w:val="687"/>
    <w:link w:val="74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742">
    <w:name w:val="Heading 2"/>
    <w:link w:val="741"/>
    <w:rPr>
      <w:rFonts w:ascii="XO Thames" w:hAnsi="XO Thames"/>
      <w:b/>
      <w:sz w:val="28"/>
    </w:rPr>
  </w:style>
  <w:style w:type="table" w:styleId="743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"/>
    <w:basedOn w:val="74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>
    <w:name w:val="Сетка таблицы светлая1"/>
    <w:basedOn w:val="743"/>
    <w:pPr>
      <w:spacing w:after="0" w:line="240" w:lineRule="auto"/>
    </w:p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numbering" w:styleId="152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2025-11-06T09:30:51Z</dcterms:modified>
</cp:coreProperties>
</file>