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1F1" w:rsidRPr="003F11F1" w:rsidRDefault="003F11F1" w:rsidP="003F11F1">
      <w:pPr>
        <w:pStyle w:val="a5"/>
        <w:spacing w:after="0"/>
        <w:ind w:left="360" w:hanging="360"/>
        <w:jc w:val="center"/>
        <w:rPr>
          <w:bCs/>
        </w:rPr>
      </w:pPr>
      <w:r w:rsidRPr="003F11F1">
        <w:rPr>
          <w:noProof/>
          <w:lang w:eastAsia="ru-RU"/>
        </w:rPr>
        <w:drawing>
          <wp:inline distT="0" distB="0" distL="0" distR="0" wp14:anchorId="7D1D3649" wp14:editId="64B8947D">
            <wp:extent cx="72390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inline>
        </w:drawing>
      </w:r>
    </w:p>
    <w:p w:rsidR="003F11F1" w:rsidRPr="003F11F1" w:rsidRDefault="003F11F1" w:rsidP="003F11F1">
      <w:pPr>
        <w:spacing w:after="0"/>
        <w:ind w:hanging="567"/>
        <w:jc w:val="center"/>
        <w:rPr>
          <w:rFonts w:ascii="Times New Roman" w:hAnsi="Times New Roman" w:cs="Times New Roman"/>
          <w:b/>
          <w:sz w:val="36"/>
          <w:szCs w:val="36"/>
        </w:rPr>
      </w:pPr>
      <w:r w:rsidRPr="003F11F1">
        <w:rPr>
          <w:rFonts w:ascii="Times New Roman" w:hAnsi="Times New Roman" w:cs="Times New Roman"/>
          <w:b/>
          <w:sz w:val="36"/>
          <w:szCs w:val="36"/>
        </w:rPr>
        <w:t>КОМИТЕТ МЕСТНОГО САМОУПРАВЛЕНИЯ</w:t>
      </w:r>
    </w:p>
    <w:p w:rsidR="003F11F1" w:rsidRPr="003F11F1" w:rsidRDefault="003F11F1" w:rsidP="003F11F1">
      <w:pPr>
        <w:spacing w:after="0"/>
        <w:ind w:hanging="567"/>
        <w:jc w:val="center"/>
        <w:rPr>
          <w:rFonts w:ascii="Times New Roman" w:hAnsi="Times New Roman" w:cs="Times New Roman"/>
          <w:b/>
          <w:sz w:val="36"/>
          <w:szCs w:val="36"/>
        </w:rPr>
      </w:pPr>
      <w:r w:rsidRPr="003F11F1">
        <w:rPr>
          <w:rFonts w:ascii="Times New Roman" w:hAnsi="Times New Roman" w:cs="Times New Roman"/>
          <w:b/>
          <w:sz w:val="36"/>
          <w:szCs w:val="36"/>
        </w:rPr>
        <w:t xml:space="preserve">НЕЧАЕВСКОГО СЕЛЬСОВЕТА </w:t>
      </w:r>
    </w:p>
    <w:p w:rsidR="003F11F1" w:rsidRPr="003F11F1" w:rsidRDefault="003F11F1" w:rsidP="003F11F1">
      <w:pPr>
        <w:spacing w:after="0"/>
        <w:ind w:hanging="567"/>
        <w:jc w:val="center"/>
        <w:rPr>
          <w:rFonts w:ascii="Times New Roman" w:hAnsi="Times New Roman" w:cs="Times New Roman"/>
          <w:b/>
          <w:sz w:val="36"/>
          <w:szCs w:val="36"/>
        </w:rPr>
      </w:pPr>
      <w:r w:rsidRPr="003F11F1">
        <w:rPr>
          <w:rFonts w:ascii="Times New Roman" w:hAnsi="Times New Roman" w:cs="Times New Roman"/>
          <w:b/>
          <w:sz w:val="36"/>
          <w:szCs w:val="36"/>
        </w:rPr>
        <w:t>МОКШАНСКОГО РАЙОНА</w:t>
      </w:r>
    </w:p>
    <w:p w:rsidR="003F11F1" w:rsidRPr="003F11F1" w:rsidRDefault="003F11F1" w:rsidP="003F11F1">
      <w:pPr>
        <w:spacing w:after="0"/>
        <w:jc w:val="center"/>
        <w:rPr>
          <w:rFonts w:ascii="Times New Roman" w:hAnsi="Times New Roman" w:cs="Times New Roman"/>
          <w:b/>
          <w:sz w:val="36"/>
          <w:szCs w:val="36"/>
        </w:rPr>
      </w:pPr>
      <w:r w:rsidRPr="003F11F1">
        <w:rPr>
          <w:rFonts w:ascii="Times New Roman" w:hAnsi="Times New Roman" w:cs="Times New Roman"/>
          <w:b/>
          <w:sz w:val="36"/>
          <w:szCs w:val="36"/>
        </w:rPr>
        <w:t>ПЕНЗЕНСКОЙ ОБЛАСТИ</w:t>
      </w:r>
    </w:p>
    <w:p w:rsidR="003F11F1" w:rsidRPr="003F11F1" w:rsidRDefault="003F11F1" w:rsidP="003F11F1">
      <w:pPr>
        <w:spacing w:after="0"/>
        <w:jc w:val="center"/>
        <w:rPr>
          <w:rFonts w:ascii="Times New Roman" w:hAnsi="Times New Roman" w:cs="Times New Roman"/>
          <w:b/>
          <w:sz w:val="36"/>
          <w:szCs w:val="36"/>
        </w:rPr>
      </w:pPr>
      <w:r w:rsidRPr="003F11F1">
        <w:rPr>
          <w:rFonts w:ascii="Times New Roman" w:hAnsi="Times New Roman" w:cs="Times New Roman"/>
          <w:b/>
          <w:sz w:val="36"/>
          <w:szCs w:val="36"/>
        </w:rPr>
        <w:t>СЕДЬМОГО СОЗЫВА</w:t>
      </w:r>
    </w:p>
    <w:p w:rsidR="00EC4E10" w:rsidRDefault="00EC4E10" w:rsidP="003F11F1">
      <w:pPr>
        <w:spacing w:after="0"/>
        <w:jc w:val="center"/>
        <w:rPr>
          <w:rFonts w:ascii="Times New Roman" w:hAnsi="Times New Roman" w:cs="Times New Roman"/>
          <w:b/>
          <w:sz w:val="28"/>
          <w:szCs w:val="28"/>
        </w:rPr>
      </w:pPr>
    </w:p>
    <w:p w:rsidR="003F11F1" w:rsidRPr="003F11F1" w:rsidRDefault="003F11F1" w:rsidP="003F11F1">
      <w:pPr>
        <w:spacing w:after="0"/>
        <w:jc w:val="center"/>
        <w:rPr>
          <w:rFonts w:ascii="Times New Roman" w:hAnsi="Times New Roman" w:cs="Times New Roman"/>
          <w:b/>
          <w:sz w:val="28"/>
          <w:szCs w:val="28"/>
        </w:rPr>
      </w:pPr>
      <w:bookmarkStart w:id="0" w:name="_GoBack"/>
      <w:bookmarkEnd w:id="0"/>
      <w:r w:rsidRPr="003F11F1">
        <w:rPr>
          <w:rFonts w:ascii="Times New Roman" w:hAnsi="Times New Roman" w:cs="Times New Roman"/>
          <w:b/>
          <w:sz w:val="28"/>
          <w:szCs w:val="28"/>
        </w:rPr>
        <w:t>Р Е Ш Е Н И Е</w:t>
      </w:r>
    </w:p>
    <w:p w:rsidR="003F11F1" w:rsidRPr="003F11F1" w:rsidRDefault="003F11F1" w:rsidP="00A7156E">
      <w:pPr>
        <w:spacing w:after="0"/>
        <w:jc w:val="center"/>
        <w:rPr>
          <w:rFonts w:ascii="Times New Roman" w:hAnsi="Times New Roman" w:cs="Times New Roman"/>
          <w:sz w:val="26"/>
          <w:szCs w:val="26"/>
        </w:rPr>
      </w:pPr>
      <w:r w:rsidRPr="003F11F1">
        <w:rPr>
          <w:rFonts w:ascii="Times New Roman" w:hAnsi="Times New Roman" w:cs="Times New Roman"/>
          <w:sz w:val="26"/>
          <w:szCs w:val="26"/>
        </w:rPr>
        <w:t xml:space="preserve">от </w:t>
      </w:r>
      <w:r w:rsidR="004A77C6">
        <w:rPr>
          <w:rFonts w:ascii="Times New Roman" w:hAnsi="Times New Roman" w:cs="Times New Roman"/>
          <w:sz w:val="26"/>
          <w:szCs w:val="26"/>
        </w:rPr>
        <w:t>06.05</w:t>
      </w:r>
      <w:r w:rsidRPr="003F11F1">
        <w:rPr>
          <w:rFonts w:ascii="Times New Roman" w:hAnsi="Times New Roman" w:cs="Times New Roman"/>
          <w:sz w:val="26"/>
          <w:szCs w:val="26"/>
        </w:rPr>
        <w:t xml:space="preserve">.2020 № </w:t>
      </w:r>
      <w:r w:rsidR="004A77C6">
        <w:rPr>
          <w:rFonts w:ascii="Times New Roman" w:hAnsi="Times New Roman" w:cs="Times New Roman"/>
          <w:sz w:val="26"/>
          <w:szCs w:val="26"/>
        </w:rPr>
        <w:t>73-22</w:t>
      </w:r>
      <w:r w:rsidRPr="003F11F1">
        <w:rPr>
          <w:rFonts w:ascii="Times New Roman" w:hAnsi="Times New Roman" w:cs="Times New Roman"/>
          <w:sz w:val="26"/>
          <w:szCs w:val="26"/>
        </w:rPr>
        <w:t>/7</w:t>
      </w:r>
    </w:p>
    <w:p w:rsidR="003F11F1" w:rsidRDefault="003F11F1" w:rsidP="00A7156E">
      <w:pPr>
        <w:spacing w:after="0"/>
        <w:jc w:val="center"/>
        <w:rPr>
          <w:rFonts w:ascii="Times New Roman" w:hAnsi="Times New Roman" w:cs="Times New Roman"/>
          <w:sz w:val="26"/>
          <w:szCs w:val="26"/>
        </w:rPr>
      </w:pPr>
      <w:proofErr w:type="gramStart"/>
      <w:r w:rsidRPr="003F11F1">
        <w:rPr>
          <w:rFonts w:ascii="Times New Roman" w:hAnsi="Times New Roman" w:cs="Times New Roman"/>
          <w:sz w:val="26"/>
          <w:szCs w:val="26"/>
        </w:rPr>
        <w:t>с</w:t>
      </w:r>
      <w:proofErr w:type="gramEnd"/>
      <w:r w:rsidRPr="003F11F1">
        <w:rPr>
          <w:rFonts w:ascii="Times New Roman" w:hAnsi="Times New Roman" w:cs="Times New Roman"/>
          <w:sz w:val="26"/>
          <w:szCs w:val="26"/>
        </w:rPr>
        <w:t>. Нечаевка</w:t>
      </w:r>
    </w:p>
    <w:p w:rsidR="00A7156E" w:rsidRPr="003F11F1" w:rsidRDefault="00A7156E" w:rsidP="00A7156E">
      <w:pPr>
        <w:spacing w:after="0"/>
        <w:jc w:val="center"/>
        <w:rPr>
          <w:rFonts w:ascii="Times New Roman" w:hAnsi="Times New Roman" w:cs="Times New Roman"/>
          <w:sz w:val="26"/>
          <w:szCs w:val="26"/>
        </w:rPr>
      </w:pPr>
    </w:p>
    <w:p w:rsidR="003F11F1" w:rsidRDefault="003F11F1" w:rsidP="00A7156E">
      <w:pPr>
        <w:spacing w:after="0"/>
        <w:jc w:val="center"/>
        <w:rPr>
          <w:rFonts w:ascii="Times New Roman" w:hAnsi="Times New Roman" w:cs="Times New Roman"/>
          <w:b/>
          <w:noProof/>
          <w:sz w:val="24"/>
          <w:szCs w:val="24"/>
          <w:lang w:eastAsia="ru-RU"/>
        </w:rPr>
      </w:pPr>
      <w:r w:rsidRPr="00A7156E">
        <w:rPr>
          <w:rFonts w:ascii="Times New Roman" w:hAnsi="Times New Roman" w:cs="Times New Roman"/>
          <w:b/>
          <w:bCs/>
          <w:color w:val="000000"/>
          <w:sz w:val="24"/>
          <w:szCs w:val="24"/>
        </w:rPr>
        <w:t xml:space="preserve">О внесении изменений в  Правила благоустройства территории Нечаевского  сельсовета Мокшанского района Пензенской области, утвержденные решением Комитета местного самоуправления  Нечаевского сельсовета Мокшанского района Пензенской области от </w:t>
      </w:r>
      <w:r w:rsidR="00F04A52" w:rsidRPr="00A7156E">
        <w:rPr>
          <w:rFonts w:ascii="Times New Roman" w:hAnsi="Times New Roman" w:cs="Times New Roman"/>
          <w:b/>
          <w:noProof/>
          <w:sz w:val="24"/>
          <w:szCs w:val="24"/>
          <w:lang w:eastAsia="ru-RU"/>
        </w:rPr>
        <w:t>02.10</w:t>
      </w:r>
      <w:r w:rsidRPr="00A7156E">
        <w:rPr>
          <w:rFonts w:ascii="Times New Roman" w:hAnsi="Times New Roman" w:cs="Times New Roman"/>
          <w:b/>
          <w:noProof/>
          <w:sz w:val="24"/>
          <w:szCs w:val="24"/>
          <w:lang w:eastAsia="ru-RU"/>
        </w:rPr>
        <w:t xml:space="preserve">.2017 № </w:t>
      </w:r>
      <w:r w:rsidR="00F04A52" w:rsidRPr="00A7156E">
        <w:rPr>
          <w:rFonts w:ascii="Times New Roman" w:hAnsi="Times New Roman" w:cs="Times New Roman"/>
          <w:b/>
          <w:noProof/>
          <w:sz w:val="24"/>
          <w:szCs w:val="24"/>
          <w:lang w:eastAsia="ru-RU"/>
        </w:rPr>
        <w:t>238-100</w:t>
      </w:r>
      <w:r w:rsidRPr="00A7156E">
        <w:rPr>
          <w:rFonts w:ascii="Times New Roman" w:hAnsi="Times New Roman" w:cs="Times New Roman"/>
          <w:b/>
          <w:noProof/>
          <w:sz w:val="24"/>
          <w:szCs w:val="24"/>
          <w:lang w:eastAsia="ru-RU"/>
        </w:rPr>
        <w:t>/6</w:t>
      </w:r>
    </w:p>
    <w:p w:rsidR="00A7156E" w:rsidRPr="00A7156E" w:rsidRDefault="00A7156E" w:rsidP="00A7156E">
      <w:pPr>
        <w:spacing w:after="0"/>
        <w:jc w:val="center"/>
        <w:rPr>
          <w:rFonts w:ascii="Times New Roman" w:hAnsi="Times New Roman" w:cs="Times New Roman"/>
          <w:b/>
          <w:noProof/>
          <w:sz w:val="24"/>
          <w:szCs w:val="24"/>
          <w:lang w:eastAsia="ru-RU"/>
        </w:rPr>
      </w:pPr>
    </w:p>
    <w:p w:rsidR="003F11F1" w:rsidRPr="00A7156E" w:rsidRDefault="003F11F1" w:rsidP="00A7156E">
      <w:pPr>
        <w:spacing w:after="0" w:line="240" w:lineRule="auto"/>
        <w:ind w:firstLine="567"/>
        <w:jc w:val="both"/>
        <w:rPr>
          <w:rFonts w:ascii="Times New Roman" w:hAnsi="Times New Roman" w:cs="Times New Roman"/>
          <w:color w:val="000000"/>
          <w:sz w:val="24"/>
          <w:szCs w:val="24"/>
        </w:rPr>
      </w:pPr>
      <w:proofErr w:type="gramStart"/>
      <w:r w:rsidRPr="00A7156E">
        <w:rPr>
          <w:rFonts w:ascii="Times New Roman" w:hAnsi="Times New Roman" w:cs="Times New Roman"/>
          <w:color w:val="000000"/>
          <w:sz w:val="24"/>
          <w:szCs w:val="24"/>
        </w:rPr>
        <w:t xml:space="preserve">В соответствии с пунктом 19 части 1 статьи 14, пунктом 3 части 3 статьи 28 Федерального закона от 06.10.2003 № 131-ФЗ «Об общих принципах организации органов местного самоуправления в Российской Федерации», </w:t>
      </w:r>
      <w:r w:rsidRPr="003F11F1">
        <w:rPr>
          <w:rFonts w:ascii="Times New Roman" w:eastAsia="Times New Roman" w:hAnsi="Times New Roman" w:cs="Times New Roman"/>
          <w:color w:val="000000"/>
          <w:sz w:val="24"/>
          <w:szCs w:val="24"/>
          <w:lang w:eastAsia="ru-RU"/>
        </w:rPr>
        <w:t>Федеральным законом от 29 декабря 2017 г.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w:t>
      </w:r>
      <w:r w:rsidRPr="00A7156E">
        <w:rPr>
          <w:rFonts w:ascii="Times New Roman" w:hAnsi="Times New Roman" w:cs="Times New Roman"/>
          <w:color w:val="000000"/>
          <w:sz w:val="24"/>
          <w:szCs w:val="24"/>
        </w:rPr>
        <w:t>Федеральным</w:t>
      </w:r>
      <w:proofErr w:type="gramEnd"/>
      <w:r w:rsidRPr="00A7156E">
        <w:rPr>
          <w:rFonts w:ascii="Times New Roman" w:hAnsi="Times New Roman" w:cs="Times New Roman"/>
          <w:color w:val="000000"/>
          <w:sz w:val="24"/>
          <w:szCs w:val="24"/>
        </w:rPr>
        <w:t xml:space="preserve"> законом от 28 июля 2018 №3203-ЗПО «О порядке определения границ прилегающей территории к зданию, строению, сооружению, земельному участку», руководствуясь Уставом Нечаевского сельсовета Мокшанского района Пензенской области,</w:t>
      </w:r>
    </w:p>
    <w:p w:rsidR="003F11F1" w:rsidRPr="00A7156E" w:rsidRDefault="003F11F1" w:rsidP="00A7156E">
      <w:pPr>
        <w:spacing w:after="0"/>
        <w:ind w:firstLine="624"/>
        <w:jc w:val="both"/>
        <w:rPr>
          <w:rFonts w:ascii="Times New Roman" w:hAnsi="Times New Roman" w:cs="Times New Roman"/>
          <w:color w:val="000000"/>
          <w:sz w:val="24"/>
          <w:szCs w:val="24"/>
        </w:rPr>
      </w:pPr>
      <w:r w:rsidRPr="00A7156E">
        <w:rPr>
          <w:rFonts w:ascii="Times New Roman" w:hAnsi="Times New Roman" w:cs="Times New Roman"/>
          <w:color w:val="000000"/>
          <w:sz w:val="24"/>
          <w:szCs w:val="24"/>
        </w:rPr>
        <w:t xml:space="preserve"> </w:t>
      </w:r>
    </w:p>
    <w:p w:rsidR="003F11F1" w:rsidRPr="00A7156E" w:rsidRDefault="003F11F1" w:rsidP="00A7156E">
      <w:pPr>
        <w:spacing w:after="0"/>
        <w:ind w:firstLine="624"/>
        <w:jc w:val="center"/>
        <w:rPr>
          <w:rFonts w:ascii="Times New Roman" w:hAnsi="Times New Roman" w:cs="Times New Roman"/>
          <w:b/>
          <w:bCs/>
          <w:color w:val="000000"/>
          <w:sz w:val="24"/>
          <w:szCs w:val="24"/>
        </w:rPr>
      </w:pPr>
      <w:r w:rsidRPr="00A7156E">
        <w:rPr>
          <w:rFonts w:ascii="Times New Roman" w:hAnsi="Times New Roman" w:cs="Times New Roman"/>
          <w:b/>
          <w:bCs/>
          <w:color w:val="000000"/>
          <w:sz w:val="24"/>
          <w:szCs w:val="24"/>
        </w:rPr>
        <w:t>Комитет местного самоуправления Нечаевского сельсовета</w:t>
      </w:r>
    </w:p>
    <w:p w:rsidR="003F11F1" w:rsidRPr="00A7156E" w:rsidRDefault="003F11F1" w:rsidP="00A7156E">
      <w:pPr>
        <w:spacing w:after="0"/>
        <w:ind w:firstLine="624"/>
        <w:jc w:val="center"/>
        <w:rPr>
          <w:rFonts w:ascii="Times New Roman" w:hAnsi="Times New Roman" w:cs="Times New Roman"/>
          <w:b/>
          <w:bCs/>
          <w:color w:val="000000"/>
          <w:sz w:val="24"/>
          <w:szCs w:val="24"/>
        </w:rPr>
      </w:pPr>
      <w:r w:rsidRPr="00A7156E">
        <w:rPr>
          <w:rFonts w:ascii="Times New Roman" w:hAnsi="Times New Roman" w:cs="Times New Roman"/>
          <w:b/>
          <w:bCs/>
          <w:color w:val="000000"/>
          <w:sz w:val="24"/>
          <w:szCs w:val="24"/>
        </w:rPr>
        <w:t>Мокшанского района Пензенской области решил:</w:t>
      </w:r>
    </w:p>
    <w:p w:rsidR="003F11F1" w:rsidRPr="00A7156E" w:rsidRDefault="003F11F1" w:rsidP="00A7156E">
      <w:pPr>
        <w:spacing w:after="0"/>
        <w:ind w:firstLine="624"/>
        <w:jc w:val="center"/>
        <w:rPr>
          <w:rFonts w:ascii="Times New Roman" w:hAnsi="Times New Roman" w:cs="Times New Roman"/>
          <w:sz w:val="24"/>
          <w:szCs w:val="24"/>
        </w:rPr>
      </w:pPr>
    </w:p>
    <w:p w:rsidR="003F11F1" w:rsidRPr="00A7156E" w:rsidRDefault="003F11F1" w:rsidP="00A7156E">
      <w:pPr>
        <w:spacing w:after="0"/>
        <w:ind w:firstLine="624"/>
        <w:jc w:val="both"/>
        <w:rPr>
          <w:rFonts w:ascii="Times New Roman" w:hAnsi="Times New Roman" w:cs="Times New Roman"/>
          <w:sz w:val="24"/>
          <w:szCs w:val="24"/>
        </w:rPr>
      </w:pPr>
      <w:r w:rsidRPr="00A7156E">
        <w:rPr>
          <w:rFonts w:ascii="Times New Roman" w:hAnsi="Times New Roman" w:cs="Times New Roman"/>
          <w:color w:val="000000"/>
          <w:sz w:val="24"/>
          <w:szCs w:val="24"/>
        </w:rPr>
        <w:t xml:space="preserve">1. Внести в Правила благоустройства территории Нечаевского сельсовета Мокшанского района Пензенской области, утвержденные решением Комитета местного самоуправления Нечаевского сельсовета Мокшанского района Пензенской области от </w:t>
      </w:r>
      <w:r w:rsidR="00F04A52" w:rsidRPr="00A7156E">
        <w:rPr>
          <w:rFonts w:ascii="Times New Roman" w:hAnsi="Times New Roman" w:cs="Times New Roman"/>
          <w:noProof/>
          <w:sz w:val="24"/>
          <w:szCs w:val="24"/>
          <w:lang w:eastAsia="ru-RU"/>
        </w:rPr>
        <w:t>02.10.2017 № 238-100/6</w:t>
      </w:r>
      <w:r w:rsidRPr="00A7156E">
        <w:rPr>
          <w:rFonts w:ascii="Times New Roman" w:hAnsi="Times New Roman" w:cs="Times New Roman"/>
          <w:color w:val="000000"/>
          <w:sz w:val="24"/>
          <w:szCs w:val="24"/>
        </w:rPr>
        <w:t xml:space="preserve"> следующие изменения:</w:t>
      </w:r>
    </w:p>
    <w:p w:rsidR="003F11F1" w:rsidRPr="00A7156E" w:rsidRDefault="003F11F1" w:rsidP="00A7156E">
      <w:pPr>
        <w:spacing w:after="0"/>
        <w:ind w:firstLine="624"/>
        <w:jc w:val="both"/>
        <w:rPr>
          <w:rFonts w:ascii="Times New Roman" w:hAnsi="Times New Roman" w:cs="Times New Roman"/>
          <w:sz w:val="24"/>
          <w:szCs w:val="24"/>
        </w:rPr>
      </w:pPr>
      <w:r w:rsidRPr="00A7156E">
        <w:rPr>
          <w:rFonts w:ascii="Times New Roman" w:hAnsi="Times New Roman" w:cs="Times New Roman"/>
          <w:color w:val="000000"/>
          <w:sz w:val="24"/>
          <w:szCs w:val="24"/>
        </w:rPr>
        <w:t>1.1. часть 1.2. дополнить пунктом 7  следующего содержания:</w:t>
      </w:r>
    </w:p>
    <w:p w:rsidR="003F11F1" w:rsidRPr="00A7156E" w:rsidRDefault="003F11F1" w:rsidP="00A7156E">
      <w:pPr>
        <w:spacing w:after="0"/>
        <w:ind w:firstLine="624"/>
        <w:jc w:val="both"/>
        <w:rPr>
          <w:rFonts w:ascii="Times New Roman" w:hAnsi="Times New Roman" w:cs="Times New Roman"/>
          <w:color w:val="000000"/>
          <w:sz w:val="24"/>
          <w:szCs w:val="24"/>
        </w:rPr>
      </w:pPr>
      <w:r w:rsidRPr="00A7156E">
        <w:rPr>
          <w:rFonts w:ascii="Times New Roman" w:hAnsi="Times New Roman" w:cs="Times New Roman"/>
          <w:color w:val="000000"/>
          <w:sz w:val="24"/>
          <w:szCs w:val="24"/>
        </w:rPr>
        <w:t>«7) определение мест и способов разведения костров, сжигания мусора, травы, листвы и иных отходов, материалов или изделий на землях  общего пользования на территории Нечаевского сельсовета Мокшанского района Пензенской области</w:t>
      </w:r>
      <w:proofErr w:type="gramStart"/>
      <w:r w:rsidRPr="00A7156E">
        <w:rPr>
          <w:rFonts w:ascii="Times New Roman" w:hAnsi="Times New Roman" w:cs="Times New Roman"/>
          <w:color w:val="000000"/>
          <w:sz w:val="24"/>
          <w:szCs w:val="24"/>
        </w:rPr>
        <w:t>.»;</w:t>
      </w:r>
      <w:proofErr w:type="gramEnd"/>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1.</w:t>
      </w:r>
      <w:r w:rsidRPr="00A7156E">
        <w:rPr>
          <w:rFonts w:ascii="Times New Roman" w:eastAsia="Times New Roman" w:hAnsi="Times New Roman" w:cs="Times New Roman"/>
          <w:color w:val="000000"/>
          <w:sz w:val="24"/>
          <w:szCs w:val="24"/>
          <w:lang w:eastAsia="ru-RU"/>
        </w:rPr>
        <w:t>2</w:t>
      </w:r>
      <w:r w:rsidRPr="003F11F1">
        <w:rPr>
          <w:rFonts w:ascii="Times New Roman" w:eastAsia="Times New Roman" w:hAnsi="Times New Roman" w:cs="Times New Roman"/>
          <w:color w:val="000000"/>
          <w:sz w:val="24"/>
          <w:szCs w:val="24"/>
          <w:lang w:eastAsia="ru-RU"/>
        </w:rPr>
        <w:t>. В пункте 1.4. части 1:</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1.</w:t>
      </w:r>
      <w:r w:rsidRPr="00A7156E">
        <w:rPr>
          <w:rFonts w:ascii="Times New Roman" w:eastAsia="Times New Roman" w:hAnsi="Times New Roman" w:cs="Times New Roman"/>
          <w:color w:val="000000"/>
          <w:sz w:val="24"/>
          <w:szCs w:val="24"/>
          <w:lang w:eastAsia="ru-RU"/>
        </w:rPr>
        <w:t>2</w:t>
      </w:r>
      <w:r w:rsidRPr="003F11F1">
        <w:rPr>
          <w:rFonts w:ascii="Times New Roman" w:eastAsia="Times New Roman" w:hAnsi="Times New Roman" w:cs="Times New Roman"/>
          <w:color w:val="000000"/>
          <w:sz w:val="24"/>
          <w:szCs w:val="24"/>
          <w:lang w:eastAsia="ru-RU"/>
        </w:rPr>
        <w:t>.1. подпункт 2 изложить в следующей редакции:</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xml:space="preserve">«2) элементы благоустройства - декоративные, технические, планировочные, конструктивные устройства, элементы озеленения, различные виды оборудования и </w:t>
      </w:r>
      <w:r w:rsidRPr="003F11F1">
        <w:rPr>
          <w:rFonts w:ascii="Times New Roman" w:eastAsia="Times New Roman" w:hAnsi="Times New Roman" w:cs="Times New Roman"/>
          <w:color w:val="000000"/>
          <w:sz w:val="24"/>
          <w:szCs w:val="24"/>
          <w:lang w:eastAsia="ru-RU"/>
        </w:rPr>
        <w:lastRenderedPageBreak/>
        <w:t>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1.</w:t>
      </w:r>
      <w:r w:rsidRPr="00A7156E">
        <w:rPr>
          <w:rFonts w:ascii="Times New Roman" w:eastAsia="Times New Roman" w:hAnsi="Times New Roman" w:cs="Times New Roman"/>
          <w:color w:val="000000"/>
          <w:sz w:val="24"/>
          <w:szCs w:val="24"/>
          <w:lang w:eastAsia="ru-RU"/>
        </w:rPr>
        <w:t>2</w:t>
      </w:r>
      <w:r w:rsidRPr="003F11F1">
        <w:rPr>
          <w:rFonts w:ascii="Times New Roman" w:eastAsia="Times New Roman" w:hAnsi="Times New Roman" w:cs="Times New Roman"/>
          <w:color w:val="000000"/>
          <w:sz w:val="24"/>
          <w:szCs w:val="24"/>
          <w:lang w:eastAsia="ru-RU"/>
        </w:rPr>
        <w:t>.2.подпункт 13 изложить в следующей редакции:</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xml:space="preserve">«13.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3F11F1">
        <w:rPr>
          <w:rFonts w:ascii="Times New Roman" w:eastAsia="Times New Roman" w:hAnsi="Times New Roman" w:cs="Times New Roman"/>
          <w:color w:val="000000"/>
          <w:sz w:val="24"/>
          <w:szCs w:val="24"/>
          <w:lang w:eastAsia="ru-RU"/>
        </w:rPr>
        <w:t>границы</w:t>
      </w:r>
      <w:proofErr w:type="gramEnd"/>
      <w:r w:rsidRPr="003F11F1">
        <w:rPr>
          <w:rFonts w:ascii="Times New Roman" w:eastAsia="Times New Roman" w:hAnsi="Times New Roman" w:cs="Times New Roman"/>
          <w:color w:val="000000"/>
          <w:sz w:val="24"/>
          <w:szCs w:val="24"/>
          <w:lang w:eastAsia="ru-RU"/>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1.</w:t>
      </w:r>
      <w:r w:rsidRPr="00A7156E">
        <w:rPr>
          <w:rFonts w:ascii="Times New Roman" w:eastAsia="Times New Roman" w:hAnsi="Times New Roman" w:cs="Times New Roman"/>
          <w:color w:val="000000"/>
          <w:sz w:val="24"/>
          <w:szCs w:val="24"/>
          <w:lang w:eastAsia="ru-RU"/>
        </w:rPr>
        <w:t>2</w:t>
      </w:r>
      <w:r w:rsidRPr="003F11F1">
        <w:rPr>
          <w:rFonts w:ascii="Times New Roman" w:eastAsia="Times New Roman" w:hAnsi="Times New Roman" w:cs="Times New Roman"/>
          <w:color w:val="000000"/>
          <w:sz w:val="24"/>
          <w:szCs w:val="24"/>
          <w:lang w:eastAsia="ru-RU"/>
        </w:rPr>
        <w:t>.3. дополнить пунктом 21 следующего содержания:</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3F11F1">
        <w:rPr>
          <w:rFonts w:ascii="Times New Roman" w:eastAsia="Times New Roman" w:hAnsi="Times New Roman" w:cs="Times New Roman"/>
          <w:color w:val="000000"/>
          <w:sz w:val="24"/>
          <w:szCs w:val="24"/>
          <w:lang w:eastAsia="ru-RU"/>
        </w:rPr>
        <w:t>«21.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1.</w:t>
      </w:r>
      <w:r w:rsidRPr="00A7156E">
        <w:rPr>
          <w:rFonts w:ascii="Times New Roman" w:eastAsia="Times New Roman" w:hAnsi="Times New Roman" w:cs="Times New Roman"/>
          <w:color w:val="000000"/>
          <w:sz w:val="24"/>
          <w:szCs w:val="24"/>
          <w:lang w:eastAsia="ru-RU"/>
        </w:rPr>
        <w:t>3</w:t>
      </w:r>
      <w:r w:rsidRPr="003F11F1">
        <w:rPr>
          <w:rFonts w:ascii="Times New Roman" w:eastAsia="Times New Roman" w:hAnsi="Times New Roman" w:cs="Times New Roman"/>
          <w:color w:val="000000"/>
          <w:sz w:val="24"/>
          <w:szCs w:val="24"/>
          <w:lang w:eastAsia="ru-RU"/>
        </w:rPr>
        <w:t>. дополнить разделом 2.1. следующего содержания:</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w:t>
      </w:r>
      <w:r w:rsidRPr="003F11F1">
        <w:rPr>
          <w:rFonts w:ascii="Times New Roman" w:eastAsia="Times New Roman" w:hAnsi="Times New Roman" w:cs="Times New Roman"/>
          <w:b/>
          <w:bCs/>
          <w:color w:val="000000"/>
          <w:sz w:val="24"/>
          <w:szCs w:val="24"/>
          <w:lang w:eastAsia="ru-RU"/>
        </w:rPr>
        <w:t>«2.1. Особые требования к обустройству территории сельсовета в целях обеспечения беспрепятственного передвижения по указанной территории для инвалидов и других маломобильных групп населения</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2.1.1. На объектах благоустройства необходимо предусматривать доступность среды для инвалидов и других маломобильных групп населения, оснащение объектов элементами и техническими средствами, способствующими передвижению инвалидов и других маломобильных групп населения. В числе первоочередных и обязательных мер должна предусматриваться доступность инвалидов во все учреждения социальной защиты населения, а также государственные и муниципальные учреждения.</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2.1.2. Проектирование, строительство, установка технических средств и оборудования, способствующих передвижению инвалидов и других маломобильных групп населения, осуществляется при новом строительстве или реконструкции заказчиком в соответствии с утвержденной проектной документацией</w:t>
      </w:r>
      <w:proofErr w:type="gramStart"/>
      <w:r w:rsidRPr="003F11F1">
        <w:rPr>
          <w:rFonts w:ascii="Times New Roman" w:eastAsia="Times New Roman" w:hAnsi="Times New Roman" w:cs="Times New Roman"/>
          <w:color w:val="000000"/>
          <w:sz w:val="24"/>
          <w:szCs w:val="24"/>
          <w:lang w:eastAsia="ru-RU"/>
        </w:rPr>
        <w:t>.»;</w:t>
      </w:r>
      <w:proofErr w:type="gramEnd"/>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1.3. дополнить разделом 2.2. следующего содержания:</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w:t>
      </w:r>
      <w:r w:rsidRPr="003F11F1">
        <w:rPr>
          <w:rFonts w:ascii="Times New Roman" w:eastAsia="Times New Roman" w:hAnsi="Times New Roman" w:cs="Times New Roman"/>
          <w:b/>
          <w:bCs/>
          <w:color w:val="000000"/>
          <w:sz w:val="24"/>
          <w:szCs w:val="24"/>
          <w:lang w:eastAsia="ru-RU"/>
        </w:rPr>
        <w:t>«2.2. Праздничное оформление </w:t>
      </w:r>
      <w:r w:rsidRPr="00A7156E">
        <w:rPr>
          <w:rFonts w:ascii="Times New Roman" w:eastAsia="Times New Roman" w:hAnsi="Times New Roman" w:cs="Times New Roman"/>
          <w:b/>
          <w:bCs/>
          <w:color w:val="000000"/>
          <w:sz w:val="24"/>
          <w:szCs w:val="24"/>
          <w:lang w:eastAsia="ru-RU"/>
        </w:rPr>
        <w:t>Нечаевского</w:t>
      </w:r>
      <w:r w:rsidRPr="003F11F1">
        <w:rPr>
          <w:rFonts w:ascii="Times New Roman" w:eastAsia="Times New Roman" w:hAnsi="Times New Roman" w:cs="Times New Roman"/>
          <w:b/>
          <w:bCs/>
          <w:color w:val="000000"/>
          <w:sz w:val="24"/>
          <w:szCs w:val="24"/>
          <w:lang w:eastAsia="ru-RU"/>
        </w:rPr>
        <w:t> сельсовета</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2.2.1. Праздничное оформление территории </w:t>
      </w:r>
      <w:r w:rsidRPr="00A7156E">
        <w:rPr>
          <w:rFonts w:ascii="Times New Roman" w:eastAsia="Times New Roman" w:hAnsi="Times New Roman" w:cs="Times New Roman"/>
          <w:color w:val="000000"/>
          <w:sz w:val="24"/>
          <w:szCs w:val="24"/>
          <w:lang w:eastAsia="ru-RU"/>
        </w:rPr>
        <w:t>Нечаевского</w:t>
      </w:r>
      <w:r w:rsidRPr="003F11F1">
        <w:rPr>
          <w:rFonts w:ascii="Times New Roman" w:eastAsia="Times New Roman" w:hAnsi="Times New Roman" w:cs="Times New Roman"/>
          <w:color w:val="000000"/>
          <w:sz w:val="24"/>
          <w:szCs w:val="24"/>
          <w:lang w:eastAsia="ru-RU"/>
        </w:rPr>
        <w:t> сельсовета выполняется на период проведения праздничных мероприятий.</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2.2.2. В период подготовки и проведения праздничных мероприятий владельцы объектов производят праздничное оформление объектов и прилегающих территорий с использованием праздничной символики в следующие сроки:</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за 1 месяц до Новогодних каникул;</w:t>
      </w:r>
    </w:p>
    <w:p w:rsidR="00F04A52" w:rsidRPr="003F11F1" w:rsidRDefault="00F04A52" w:rsidP="00A7156E">
      <w:pPr>
        <w:spacing w:after="0" w:line="240" w:lineRule="auto"/>
        <w:ind w:firstLine="567"/>
        <w:jc w:val="both"/>
        <w:rPr>
          <w:rFonts w:ascii="Times New Roman" w:eastAsia="Times New Roman" w:hAnsi="Times New Roman" w:cs="Times New Roman"/>
          <w:color w:val="000000"/>
          <w:sz w:val="24"/>
          <w:szCs w:val="24"/>
          <w:lang w:eastAsia="ru-RU"/>
        </w:rPr>
      </w:pPr>
      <w:r w:rsidRPr="003F11F1">
        <w:rPr>
          <w:rFonts w:ascii="Times New Roman" w:eastAsia="Times New Roman" w:hAnsi="Times New Roman" w:cs="Times New Roman"/>
          <w:color w:val="000000"/>
          <w:sz w:val="24"/>
          <w:szCs w:val="24"/>
          <w:lang w:eastAsia="ru-RU"/>
        </w:rPr>
        <w:t>- за 10 дней до 23 февраля - Дня защитника Отечества, 8 Марта - Международного женского дня, 1 Мая - Праздника Весны и Труда, 9 Мая - Дня Победы, 4 ноября - Дня народного единства, 12 июня - Дня России</w:t>
      </w:r>
      <w:proofErr w:type="gramStart"/>
      <w:r w:rsidRPr="003F11F1">
        <w:rPr>
          <w:rFonts w:ascii="Times New Roman" w:eastAsia="Times New Roman" w:hAnsi="Times New Roman" w:cs="Times New Roman"/>
          <w:color w:val="000000"/>
          <w:sz w:val="24"/>
          <w:szCs w:val="24"/>
          <w:lang w:eastAsia="ru-RU"/>
        </w:rPr>
        <w:t>.».</w:t>
      </w:r>
      <w:proofErr w:type="gramEnd"/>
    </w:p>
    <w:p w:rsidR="00F04A52" w:rsidRPr="00A7156E" w:rsidRDefault="00F04A52" w:rsidP="00A7156E">
      <w:pPr>
        <w:pStyle w:val="a3"/>
        <w:spacing w:before="0" w:beforeAutospacing="0" w:after="0" w:afterAutospacing="0"/>
        <w:ind w:firstLine="567"/>
        <w:jc w:val="both"/>
        <w:rPr>
          <w:color w:val="000000"/>
        </w:rPr>
      </w:pPr>
      <w:r w:rsidRPr="00A7156E">
        <w:rPr>
          <w:color w:val="000000"/>
        </w:rPr>
        <w:t>1.4. дополнить Правила пунктами 4.1. - 4.4. следующего содержания: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4.1. Принципы определения границ прилегающих территорий</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 xml:space="preserve">4.1.1. </w:t>
      </w:r>
      <w:proofErr w:type="gramStart"/>
      <w:r w:rsidRPr="00A7156E">
        <w:rPr>
          <w:color w:val="000000"/>
        </w:rPr>
        <w:t>Границы прилегающих территорий определяются по периметру (по каждой стороне индивидуально) зданий, строений, сооружений, земельных участков, если такие земельные участки образованы (далее – объект), исходя из разрешенного использования объектов, сложившейся застройки территории, рельефа местности и минимально установленного настоящими Правилами расстояния от объекта до границ прилегающей территории такого объекта в целях организации благоустройства территории Нечаевского сельсовета.</w:t>
      </w:r>
      <w:proofErr w:type="gramEnd"/>
    </w:p>
    <w:p w:rsidR="00F04A52" w:rsidRPr="00A7156E" w:rsidRDefault="00F04A52" w:rsidP="00A7156E">
      <w:pPr>
        <w:pStyle w:val="a3"/>
        <w:spacing w:before="0" w:beforeAutospacing="0" w:after="0" w:afterAutospacing="0"/>
        <w:ind w:firstLine="567"/>
        <w:jc w:val="both"/>
        <w:rPr>
          <w:color w:val="000000"/>
        </w:rPr>
      </w:pPr>
      <w:r w:rsidRPr="00A7156E">
        <w:rPr>
          <w:color w:val="000000"/>
        </w:rPr>
        <w:lastRenderedPageBreak/>
        <w:t>4.1.2. При определении границ прилегающих территорий учитываются: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расстояние до рядом расположенного (соседнего) объекта либо до границы прилегающей территории такого объекта, установленной ранее;</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наличие граничащих с объектом дорог, тротуаров, эстакад и иных элементов улично-дорожной сети общего пользования, за исключением проходов и проездов, связанных с эксплуатацией этого объекта;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 xml:space="preserve">наличие граничащих с объектом зон с особыми условиями использования территорий (охранные, санитарно-защитные зоны, зоны охраны объектов культурного наследия, </w:t>
      </w:r>
      <w:proofErr w:type="spellStart"/>
      <w:r w:rsidRPr="00A7156E">
        <w:rPr>
          <w:color w:val="000000"/>
        </w:rPr>
        <w:t>водоохранные</w:t>
      </w:r>
      <w:proofErr w:type="spellEnd"/>
      <w:r w:rsidRPr="00A7156E">
        <w:rPr>
          <w:color w:val="000000"/>
        </w:rPr>
        <w:t xml:space="preserve"> зоны и иные зоны, устанавливаемые в соответствии с законодательством Российской Федерации).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4.2. Минимальные расстояния от объекта до границ прилегающей территории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4.2.1. Устанавливаются следующие минимальные расстояния от объекта до границ прилегающей территории в зависимости от предназначения объекта: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а) для индивидуальных жилых домов и домов блокированной застройки: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в случае</w:t>
      </w:r>
      <w:proofErr w:type="gramStart"/>
      <w:r w:rsidRPr="00A7156E">
        <w:rPr>
          <w:color w:val="000000"/>
        </w:rPr>
        <w:t>,</w:t>
      </w:r>
      <w:proofErr w:type="gramEnd"/>
      <w:r w:rsidRPr="00A7156E">
        <w:rPr>
          <w:color w:val="000000"/>
        </w:rPr>
        <w:t xml:space="preserve"> если в отношении земельного участка, на котором расположен жилой дом, осуществлен государственный кадастровый учет – не менее 2 метров по периметру границы этого земельного участка, а со стороны въезда (входа) – до края тротуара, газона, прилегающих к дороге, при их отсутствии – до края проезжей части дороги, включая кювет;</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в случае</w:t>
      </w:r>
      <w:proofErr w:type="gramStart"/>
      <w:r w:rsidRPr="00A7156E">
        <w:rPr>
          <w:color w:val="000000"/>
        </w:rPr>
        <w:t>,</w:t>
      </w:r>
      <w:proofErr w:type="gramEnd"/>
      <w:r w:rsidRPr="00A7156E">
        <w:rPr>
          <w:color w:val="000000"/>
        </w:rPr>
        <w:t xml:space="preserve"> если в отношении земельного участка, на котором расположен жилой дом, не осуществлен государственный кадастровый учет, либо государственный кадастровый учет осуществлен по границам стен фундаментов этих домов – не менее 10 метров по периметру от стен дома,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в случае</w:t>
      </w:r>
      <w:proofErr w:type="gramStart"/>
      <w:r w:rsidRPr="00A7156E">
        <w:rPr>
          <w:color w:val="000000"/>
        </w:rPr>
        <w:t>,</w:t>
      </w:r>
      <w:proofErr w:type="gramEnd"/>
      <w:r w:rsidRPr="00A7156E">
        <w:rPr>
          <w:color w:val="000000"/>
        </w:rPr>
        <w:t xml:space="preserve"> если земельный участок, на котором расположен жилой дом предоставлен ранее в соответствии с действующим законодательством, огорожен, но в отношении которого не осуществлен государственный кадастровый учет – не менее 5 метров по периметру ограждения, со стороны въезда (входа) – до края тротуара, газона, прилегающих к дороге, при их отсутствии – до края проезжей части дороги, включая кювет;</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б) для многоквартирных жилых домов:</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в случае</w:t>
      </w:r>
      <w:proofErr w:type="gramStart"/>
      <w:r w:rsidRPr="00A7156E">
        <w:rPr>
          <w:color w:val="000000"/>
        </w:rPr>
        <w:t>,</w:t>
      </w:r>
      <w:proofErr w:type="gramEnd"/>
      <w:r w:rsidRPr="00A7156E">
        <w:rPr>
          <w:color w:val="000000"/>
        </w:rPr>
        <w:t xml:space="preserve"> если в отношении земельного участка, на котором расположен жилой дом, осуществлен государственный кадастровый учет – не менее 2 метров по периметру границы этого земельного участка, либо до края проезжей части дороги или прилегающего к дороге тротуара;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в случае</w:t>
      </w:r>
      <w:proofErr w:type="gramStart"/>
      <w:r w:rsidRPr="00A7156E">
        <w:rPr>
          <w:color w:val="000000"/>
        </w:rPr>
        <w:t>,</w:t>
      </w:r>
      <w:proofErr w:type="gramEnd"/>
      <w:r w:rsidRPr="00A7156E">
        <w:rPr>
          <w:color w:val="000000"/>
        </w:rPr>
        <w:t xml:space="preserve"> если в отношении земельного участка, на котором расположен жилой дом, осуществлен государственный кадастровый учет по границам стен фундаментов этих домов, либо в отношении земельного участка государственный кадастровый учет не осуществлен – не менее 20 метров по периметру земельного участка многоквартирного дома, либо до края проезжей части дороги или прилегающего к дороге тротуара;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в) для нежилых зданий, пристроенных к многоквартирным домам – по периметру ограждающих конструкций (стен) не менее 20 метров, либо до края проезжей части дороги;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г) для зданий, в которых располагаются образовательные, медицинские организации, организации социально-культурного и бытового назначения: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имеющих ограждение – не менее 5 метров от ограждения по периметру;</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не имеющих ограждения – не менее 20 метров по периметру стен здания (каждого здания);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д) для зданий, в которых располагаются культурные, торговые, спортивные, развлекательные центры:</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имеющих парковки для автомобильного транспорта – не менее 15 метров по периметру от парковки;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lastRenderedPageBreak/>
        <w:t>не имеющих парковки – не менее 20 метров по периметру ограждающих конструкций (стен) объекта;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е) для отдельно стоящих стационарных и нестационарных объектов потребительского рынка (киосков, палаток, павильонов, автомоек и др.) – не менее 10 метров по периметру;</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ж) для автостоянок – не менее 25 метров по периметру автостоянки;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з) для промышленных объектов, включая объекты захоронения, хранения, обезвреживания, размещения отходов – не менее 50 метров от ограждения по периметру указанных объектов;</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и) для строительных объектов, включая места проведения ремонтных работ (аварийно-восстановительных работ) – не менее 15 метров от ограждения по периметру указанных объектов;</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к) для автозаправочных станций (далее – АЗС) – не менее 50 метров по периметру АЗС и подъездов к объектам АЗС;</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л) для земельных участков, предназначенные для отдыха, спорта, в том числе для детских площадок – не менее 10 метров по периметру такого земельного участка, в случае отсутствия ограждения и не менее 5 метров при наличии ограждения;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м) для территорий розничных рынков, ярмарок – не менее 50 метров по периметру земельного участка, на котором находится рынок, проводится ярмарка;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н) для контейнерных площадок, в случае, если такие площадки не расположены на земельном участке многоквартирного дома, поставленного на кадастровый учет – не менее 10 метров по периметру объекта;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о) для кладбищ – не менее 15 метров по периметру земельного участка, выделенного под размещение кладбища, а в случае наличия крематория – не менее 50 метров от ограждающих конструкций (стен) объекта.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 xml:space="preserve">4.2.2. Для </w:t>
      </w:r>
      <w:proofErr w:type="gramStart"/>
      <w:r w:rsidRPr="00A7156E">
        <w:rPr>
          <w:color w:val="000000"/>
        </w:rPr>
        <w:t>объектов, не установленных подпунктом 4.2.1 настоящего пункта минимальные расстояния от объекта до границ прилегающей территории принимаются</w:t>
      </w:r>
      <w:proofErr w:type="gramEnd"/>
      <w:r w:rsidRPr="00A7156E">
        <w:rPr>
          <w:color w:val="000000"/>
        </w:rPr>
        <w:t xml:space="preserve"> не менее 15 метров.</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4.2.3. В определенных пунктом 4.1. настоящих Правил случаях при установлении границ прилегающей территории минимальные расстояния от объекта до границ прилегающей территории, указанные в подпунктах 4.2.1 и 4.2.2 настоящего пункта, могут быть уменьшены.</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4.3. Определение границ прилегающей территории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4.3.1. Для определения границ прилегающей территории определяется фактическое расстояние до рядом расположенных соседних объектов. Определение фактического расстояния может осуществляться с помощью рулетки или иных приборов измерения, либо с использованием документации, в которой такие расстояния уже установлены.</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4.3.2. Максимальное значение расстояния от объекта до границ прилегающей территории не может превышать более чем 30 процентов минимального расстояния.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4.3.3. При нахождении рядом двух и более граничащих (соседних) объектов установление границ между ними осуществляется с учетом:</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суммарного значения минимальных расстояний;</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возможного максимального значения расстояния от объекта до границ прилегающей территории, определенного в соответствии с частью 2 настоящей статьи;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фактического расстояния до соседнего объекта, определенного в соответствии с подпунктом 4.3.1 настоящего пункта.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4.3.4. В случае</w:t>
      </w:r>
      <w:proofErr w:type="gramStart"/>
      <w:r w:rsidRPr="00A7156E">
        <w:rPr>
          <w:color w:val="000000"/>
        </w:rPr>
        <w:t>,</w:t>
      </w:r>
      <w:proofErr w:type="gramEnd"/>
      <w:r w:rsidRPr="00A7156E">
        <w:rPr>
          <w:color w:val="000000"/>
        </w:rPr>
        <w:t xml:space="preserve"> если фактическое расстояние между объектами меньше суммарного значения минимальных расстояний от объекта до границ прилегающих территорий этих объектов, разграничение происходит следующим образом:</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если для одного из объектов ранее установлены границы прилегающей территории, для второго объекта прилегающая территория устанавливается до границы прилегающей территории первого объекта;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lastRenderedPageBreak/>
        <w:t>если ни для одного из объектов границы прилегающей территории ранее не устанавливались, в отношении земельного участка не осуществлен государственный кадастровый учет либо осуществлен по периметру фундамента стен зданий, строений, сооружений, граница устанавливается в пропорциональной зависимости от установленных настоящими Правилами минимальных расстояний от объектов до границ прилегающих территорий этих объектов;</w:t>
      </w:r>
    </w:p>
    <w:p w:rsidR="00F04A52" w:rsidRPr="00A7156E" w:rsidRDefault="00F04A52" w:rsidP="00A7156E">
      <w:pPr>
        <w:pStyle w:val="a3"/>
        <w:spacing w:before="0" w:beforeAutospacing="0" w:after="0" w:afterAutospacing="0"/>
        <w:ind w:firstLine="567"/>
        <w:jc w:val="both"/>
        <w:rPr>
          <w:color w:val="000000"/>
        </w:rPr>
      </w:pPr>
      <w:proofErr w:type="gramStart"/>
      <w:r w:rsidRPr="00A7156E">
        <w:rPr>
          <w:color w:val="000000"/>
        </w:rPr>
        <w:t>если одним из объектов является многоквартирный жилой дом, в отношении земельного участка, на котором он расположен, осуществлен государственный кадастровый учет (при условии, что разница между значением фактического расстояния между объектами и суммарного значения минимальных расстояний от объектов до границ прилегающих территорий этих объектов составляет не более 2 метров), для второго объекта прилегающая территория устанавливается до границы земельного участка этого многоквартирного</w:t>
      </w:r>
      <w:proofErr w:type="gramEnd"/>
      <w:r w:rsidRPr="00A7156E">
        <w:rPr>
          <w:color w:val="000000"/>
        </w:rPr>
        <w:t xml:space="preserve"> жилого дома, в отношении которого осуществлен государственный кадастровый учет;</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4.3.5. В случае</w:t>
      </w:r>
      <w:proofErr w:type="gramStart"/>
      <w:r w:rsidRPr="00A7156E">
        <w:rPr>
          <w:color w:val="000000"/>
        </w:rPr>
        <w:t>,</w:t>
      </w:r>
      <w:proofErr w:type="gramEnd"/>
      <w:r w:rsidRPr="00A7156E">
        <w:rPr>
          <w:color w:val="000000"/>
        </w:rPr>
        <w:t xml:space="preserve"> если фактическое расстояние между двумя граничащими объектами более чем суммарное расстояние установленных настоящими Правилами минимальных расстояний от объектов до границ прилегающих территорий этих объектов, границы прилегающих территорий для указанных объектов определяются исходя из максимального увеличения такого расстояния, не более чем на 30 процентов от установленных настоящими Правилами минимальных расстояний от объекта до границ прилегающих территорий по каждому из объектов.</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Положения абзаца первого настоящей части не распространяется на случаи, когда одним из объектов является многоквартирный жилой дом, расположенный на земельном участке, в отношении которого осуществлен государственный кадастровый учет. В данном случае увеличение расстояния границы прилегающей территории на 30 процентов осуществляется только в отношении объекта, не являющегося таким многоквартирным жилым домом.</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 xml:space="preserve">4.3.6. </w:t>
      </w:r>
      <w:proofErr w:type="gramStart"/>
      <w:r w:rsidRPr="00A7156E">
        <w:rPr>
          <w:color w:val="000000"/>
        </w:rPr>
        <w:t>В случае расположения объекта рядом с дорогами, тротуарами, эстакадами и иными элементами улично-дорожной сети общего пользования граница прилегающей территории такого объекта может быть установлена только до ближайшей границы (бордюра, края проезжей части и т. п.) этих строений и сооружений, в том числе за счет уменьшения установленных настоящими Правилами минимальных расстояний от объекта до границ прилегающих территорий.</w:t>
      </w:r>
      <w:proofErr w:type="gramEnd"/>
    </w:p>
    <w:p w:rsidR="00F04A52" w:rsidRPr="00A7156E" w:rsidRDefault="00F04A52" w:rsidP="00A7156E">
      <w:pPr>
        <w:pStyle w:val="a3"/>
        <w:spacing w:before="0" w:beforeAutospacing="0" w:after="0" w:afterAutospacing="0"/>
        <w:ind w:firstLine="567"/>
        <w:jc w:val="both"/>
        <w:rPr>
          <w:color w:val="000000"/>
        </w:rPr>
      </w:pPr>
      <w:r w:rsidRPr="00A7156E">
        <w:rPr>
          <w:color w:val="000000"/>
        </w:rPr>
        <w:t>4.3.7. В случае</w:t>
      </w:r>
      <w:proofErr w:type="gramStart"/>
      <w:r w:rsidRPr="00A7156E">
        <w:rPr>
          <w:color w:val="000000"/>
        </w:rPr>
        <w:t>,</w:t>
      </w:r>
      <w:proofErr w:type="gramEnd"/>
      <w:r w:rsidRPr="00A7156E">
        <w:rPr>
          <w:color w:val="000000"/>
        </w:rPr>
        <w:t xml:space="preserve"> если объект граничит с территориями, имеющими охранные, санитарно-защитные зоны, зоны охраны объектов культурного наследия, </w:t>
      </w:r>
      <w:proofErr w:type="spellStart"/>
      <w:r w:rsidRPr="00A7156E">
        <w:rPr>
          <w:color w:val="000000"/>
        </w:rPr>
        <w:t>водоохранные</w:t>
      </w:r>
      <w:proofErr w:type="spellEnd"/>
      <w:r w:rsidRPr="00A7156E">
        <w:rPr>
          <w:color w:val="000000"/>
        </w:rPr>
        <w:t xml:space="preserve"> зоны и иные зоны, устанавливаемые в соответствии с законодательством Российской Федерации, границы прилегающей территории такого объекта устанавливаются до границ установленных зон по фактическому расстоянию, но не более максимально значения.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4.4. Оформление определения границ прилегающих территорий</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4.4.1. Границы прилегающих территорий определяются правилами благоустройства территории Нечаевского сельсовета.</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4.4.2. При определении границ прилегающих территорий в правилах благоустройства указываются:</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наименование объекта, площадь объекта, его назначение, месторасположение (адрес), кадастровый номер объекта в случае, если в отношении его осуществлен государственный кадастровый учет;</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схематическое отображение объекта (объектов), предусматривающее привязку по карте местности, его ориентацию по сторонам света и месторасположение граничащих объектов, расстояние от объекта до границы прилегающей территории.</w:t>
      </w:r>
    </w:p>
    <w:p w:rsidR="00F04A52" w:rsidRPr="00A7156E" w:rsidRDefault="00F04A52" w:rsidP="00A7156E">
      <w:pPr>
        <w:pStyle w:val="a3"/>
        <w:spacing w:before="0" w:beforeAutospacing="0" w:after="0" w:afterAutospacing="0"/>
        <w:ind w:firstLine="567"/>
        <w:jc w:val="both"/>
        <w:rPr>
          <w:color w:val="000000"/>
        </w:rPr>
      </w:pPr>
      <w:r w:rsidRPr="00A7156E">
        <w:rPr>
          <w:color w:val="000000"/>
        </w:rPr>
        <w:t>4.4.3. Информация об установленных границах прилегающих территорий размещается для общего доступа на официальном сайте Нечаевского сельсовета в информационно-телеком</w:t>
      </w:r>
      <w:r w:rsidR="00A7156E">
        <w:rPr>
          <w:color w:val="000000"/>
        </w:rPr>
        <w:t>муникационной сети «Интернет».</w:t>
      </w:r>
    </w:p>
    <w:p w:rsidR="003F11F1" w:rsidRPr="00A7156E" w:rsidRDefault="003F11F1" w:rsidP="00A7156E">
      <w:pPr>
        <w:spacing w:after="0"/>
        <w:ind w:firstLine="624"/>
        <w:jc w:val="both"/>
        <w:rPr>
          <w:rFonts w:ascii="Times New Roman" w:hAnsi="Times New Roman" w:cs="Times New Roman"/>
          <w:sz w:val="24"/>
          <w:szCs w:val="24"/>
        </w:rPr>
      </w:pPr>
      <w:r w:rsidRPr="00A7156E">
        <w:rPr>
          <w:rFonts w:ascii="Times New Roman" w:hAnsi="Times New Roman" w:cs="Times New Roman"/>
          <w:color w:val="000000"/>
          <w:sz w:val="24"/>
          <w:szCs w:val="24"/>
        </w:rPr>
        <w:lastRenderedPageBreak/>
        <w:t>1.</w:t>
      </w:r>
      <w:r w:rsidR="00F04A52" w:rsidRPr="00A7156E">
        <w:rPr>
          <w:rFonts w:ascii="Times New Roman" w:hAnsi="Times New Roman" w:cs="Times New Roman"/>
          <w:color w:val="000000"/>
          <w:sz w:val="24"/>
          <w:szCs w:val="24"/>
        </w:rPr>
        <w:t>5</w:t>
      </w:r>
      <w:r w:rsidRPr="00A7156E">
        <w:rPr>
          <w:rFonts w:ascii="Times New Roman" w:hAnsi="Times New Roman" w:cs="Times New Roman"/>
          <w:color w:val="000000"/>
          <w:sz w:val="24"/>
          <w:szCs w:val="24"/>
        </w:rPr>
        <w:t>. дополнить разделом 5 следующего содержания:</w:t>
      </w:r>
    </w:p>
    <w:p w:rsidR="003F11F1" w:rsidRPr="00A7156E" w:rsidRDefault="003F11F1" w:rsidP="00A7156E">
      <w:pPr>
        <w:spacing w:after="0"/>
        <w:ind w:firstLine="624"/>
        <w:jc w:val="both"/>
        <w:rPr>
          <w:rFonts w:ascii="Times New Roman" w:hAnsi="Times New Roman" w:cs="Times New Roman"/>
          <w:sz w:val="24"/>
          <w:szCs w:val="24"/>
        </w:rPr>
      </w:pPr>
      <w:r w:rsidRPr="00A7156E">
        <w:rPr>
          <w:rFonts w:ascii="Times New Roman" w:hAnsi="Times New Roman" w:cs="Times New Roman"/>
          <w:b/>
          <w:bCs/>
          <w:color w:val="000000"/>
          <w:sz w:val="24"/>
          <w:szCs w:val="24"/>
        </w:rPr>
        <w:t>«</w:t>
      </w:r>
      <w:r w:rsidRPr="00A7156E">
        <w:rPr>
          <w:rFonts w:ascii="Times New Roman" w:hAnsi="Times New Roman" w:cs="Times New Roman"/>
          <w:bCs/>
          <w:sz w:val="24"/>
          <w:szCs w:val="24"/>
        </w:rPr>
        <w:t xml:space="preserve">5. Требования к местам  и способов разведения костров, сжигания мусора, травы, листвы и иных отходов, материалов или изделий на землях общего пользования на территории </w:t>
      </w:r>
      <w:r w:rsidRPr="00A7156E">
        <w:rPr>
          <w:rFonts w:ascii="Times New Roman" w:hAnsi="Times New Roman" w:cs="Times New Roman"/>
          <w:sz w:val="24"/>
          <w:szCs w:val="24"/>
        </w:rPr>
        <w:t>Нечаевского</w:t>
      </w:r>
      <w:r w:rsidRPr="00A7156E">
        <w:rPr>
          <w:rFonts w:ascii="Times New Roman" w:hAnsi="Times New Roman" w:cs="Times New Roman"/>
          <w:bCs/>
          <w:sz w:val="24"/>
          <w:szCs w:val="24"/>
        </w:rPr>
        <w:t xml:space="preserve"> сельсовета Мокшанского района Пензенской области </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5.1. Использование открытого огня должно осуществляться в специально оборудованных местах при выполнении следующих требований:</w:t>
      </w:r>
    </w:p>
    <w:p w:rsidR="003F11F1" w:rsidRPr="00A7156E" w:rsidRDefault="003F11F1" w:rsidP="00A7156E">
      <w:pPr>
        <w:spacing w:after="0"/>
        <w:ind w:firstLine="567"/>
        <w:jc w:val="both"/>
        <w:rPr>
          <w:rFonts w:ascii="Times New Roman" w:hAnsi="Times New Roman" w:cs="Times New Roman"/>
          <w:sz w:val="24"/>
          <w:szCs w:val="24"/>
        </w:rPr>
      </w:pPr>
      <w:proofErr w:type="gramStart"/>
      <w:r w:rsidRPr="00A7156E">
        <w:rPr>
          <w:rFonts w:ascii="Times New Roman" w:hAnsi="Times New Roman" w:cs="Times New Roman"/>
          <w:spacing w:val="-3"/>
          <w:sz w:val="24"/>
          <w:szCs w:val="24"/>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объёмом не</w:t>
      </w:r>
      <w:proofErr w:type="gramEnd"/>
      <w:r w:rsidRPr="00A7156E">
        <w:rPr>
          <w:rFonts w:ascii="Times New Roman" w:hAnsi="Times New Roman" w:cs="Times New Roman"/>
          <w:spacing w:val="-3"/>
          <w:sz w:val="24"/>
          <w:szCs w:val="24"/>
        </w:rPr>
        <w:t xml:space="preserve"> более 1 куб. метра;</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5.2.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части 5.1. настоящих Правил, могут быть уменьшены вдвое. При этом устройство противопожарной минерализованной полосы не требуется.</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5.3.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5.4. При использовании открытого огня и разведения костров для приготовления пищи в специальных несгораемых емкостях (например: мангалах, жаровнях) на садовых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xml:space="preserve">5.5.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xml:space="preserve">5.6. При увеличении диаметра зоны очага горения должны быть выполнены требования пункта 5.1. настоящих Правил. При этом на каждый очаг использования </w:t>
      </w:r>
      <w:r w:rsidRPr="00A7156E">
        <w:rPr>
          <w:rFonts w:ascii="Times New Roman" w:hAnsi="Times New Roman" w:cs="Times New Roman"/>
          <w:spacing w:val="-3"/>
          <w:sz w:val="24"/>
          <w:szCs w:val="24"/>
        </w:rPr>
        <w:lastRenderedPageBreak/>
        <w:t xml:space="preserve">открытого огня должно быть задействовано не менее 2-х человек, обеспеченных первичными средствами пожаротушения и прошедших обучение мерам пожарной безопасности в соответствии с нормами пожарной безопасности, утвержденными приказом МЧС России от 12.12.2007 </w:t>
      </w:r>
      <w:hyperlink r:id="rId6" w:anchor="_blank" w:history="1">
        <w:r w:rsidRPr="00A7156E">
          <w:rPr>
            <w:rStyle w:val="a4"/>
            <w:rFonts w:ascii="Times New Roman" w:hAnsi="Times New Roman" w:cs="Times New Roman"/>
            <w:spacing w:val="-3"/>
            <w:sz w:val="24"/>
            <w:szCs w:val="24"/>
          </w:rPr>
          <w:t>№ 645</w:t>
        </w:r>
      </w:hyperlink>
      <w:r w:rsidRPr="00A7156E">
        <w:rPr>
          <w:rFonts w:ascii="Times New Roman" w:hAnsi="Times New Roman" w:cs="Times New Roman"/>
          <w:spacing w:val="-3"/>
          <w:sz w:val="24"/>
          <w:szCs w:val="24"/>
        </w:rPr>
        <w:t xml:space="preserve"> «Об утверждении норм пожарной безопасности «Обучение мерам пожарной безопасности работников организаций».</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xml:space="preserve">5.7.  В течение всего периода использования открытого огня до прекращения процесса тления должен осуществляться </w:t>
      </w:r>
      <w:proofErr w:type="gramStart"/>
      <w:r w:rsidRPr="00A7156E">
        <w:rPr>
          <w:rFonts w:ascii="Times New Roman" w:hAnsi="Times New Roman" w:cs="Times New Roman"/>
          <w:spacing w:val="-3"/>
          <w:sz w:val="24"/>
          <w:szCs w:val="24"/>
        </w:rPr>
        <w:t>контроль за</w:t>
      </w:r>
      <w:proofErr w:type="gramEnd"/>
      <w:r w:rsidRPr="00A7156E">
        <w:rPr>
          <w:rFonts w:ascii="Times New Roman" w:hAnsi="Times New Roman" w:cs="Times New Roman"/>
          <w:spacing w:val="-3"/>
          <w:sz w:val="24"/>
          <w:szCs w:val="24"/>
        </w:rPr>
        <w:t xml:space="preserve"> нераспространением горения (тления) за пределы очаговой зоны.</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5.8.  Использование открытого огня запрещается:</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на торфяных почвах;</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—при установлении на соответствующей территории особого противопожарного режима;</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под кронами деревьев хвойных пород;</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в емкости, стенки которой имеют огненный сквозной прогар;</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при скорости ветра, превышающей значение 10 метров в секунду.</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5.9. В процессе использования открытого огня запрещается:</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оставлять место очага горения без присмотра до полного прекращения горения (тления);</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располагать легковоспламеняющиеся и горючие жидкости, а также горючие материалы вблизи очага горения.</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5.10. После использования открытого огня место очага горения должно быть засыпано землей (песком) или залито водой до полного прекращения горения (тления)</w:t>
      </w:r>
      <w:proofErr w:type="gramStart"/>
      <w:r w:rsidRPr="00A7156E">
        <w:rPr>
          <w:rFonts w:ascii="Times New Roman" w:hAnsi="Times New Roman" w:cs="Times New Roman"/>
          <w:spacing w:val="-3"/>
          <w:sz w:val="24"/>
          <w:szCs w:val="24"/>
        </w:rPr>
        <w:t>.»</w:t>
      </w:r>
      <w:proofErr w:type="gramEnd"/>
      <w:r w:rsidRPr="00A7156E">
        <w:rPr>
          <w:rFonts w:ascii="Times New Roman" w:hAnsi="Times New Roman" w:cs="Times New Roman"/>
          <w:spacing w:val="-3"/>
          <w:sz w:val="24"/>
          <w:szCs w:val="24"/>
        </w:rPr>
        <w:t>.</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1.</w:t>
      </w:r>
      <w:r w:rsidR="00F04A52" w:rsidRPr="00A7156E">
        <w:rPr>
          <w:rFonts w:ascii="Times New Roman" w:hAnsi="Times New Roman" w:cs="Times New Roman"/>
          <w:spacing w:val="-3"/>
          <w:sz w:val="24"/>
          <w:szCs w:val="24"/>
        </w:rPr>
        <w:t>6</w:t>
      </w:r>
      <w:r w:rsidRPr="00A7156E">
        <w:rPr>
          <w:rFonts w:ascii="Times New Roman" w:hAnsi="Times New Roman" w:cs="Times New Roman"/>
          <w:spacing w:val="-3"/>
          <w:sz w:val="24"/>
          <w:szCs w:val="24"/>
        </w:rPr>
        <w:t>. Раздел 5 считать соответственно разделом 6.</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xml:space="preserve">2. Опубликовать настоящее решение в информационном бюллетене «Вести </w:t>
      </w:r>
      <w:r w:rsidRPr="00A7156E">
        <w:rPr>
          <w:rFonts w:ascii="Times New Roman" w:hAnsi="Times New Roman" w:cs="Times New Roman"/>
          <w:color w:val="000000"/>
          <w:sz w:val="24"/>
          <w:szCs w:val="24"/>
        </w:rPr>
        <w:t>Нечаевского</w:t>
      </w:r>
      <w:r w:rsidRPr="00A7156E">
        <w:rPr>
          <w:rFonts w:ascii="Times New Roman" w:hAnsi="Times New Roman" w:cs="Times New Roman"/>
          <w:spacing w:val="-3"/>
          <w:sz w:val="24"/>
          <w:szCs w:val="24"/>
        </w:rPr>
        <w:t xml:space="preserve"> сельсовета».</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3. Настоящее решение вступает в силу на следующий день после его официального опубликования.</w:t>
      </w:r>
    </w:p>
    <w:p w:rsidR="003F11F1" w:rsidRPr="00A7156E" w:rsidRDefault="003F11F1" w:rsidP="00A7156E">
      <w:pPr>
        <w:spacing w:after="0"/>
        <w:ind w:firstLine="567"/>
        <w:jc w:val="both"/>
        <w:rPr>
          <w:rFonts w:ascii="Times New Roman" w:hAnsi="Times New Roman" w:cs="Times New Roman"/>
          <w:sz w:val="24"/>
          <w:szCs w:val="24"/>
        </w:rPr>
      </w:pPr>
      <w:r w:rsidRPr="00A7156E">
        <w:rPr>
          <w:rFonts w:ascii="Times New Roman" w:hAnsi="Times New Roman" w:cs="Times New Roman"/>
          <w:spacing w:val="-3"/>
          <w:sz w:val="24"/>
          <w:szCs w:val="24"/>
        </w:rPr>
        <w:t xml:space="preserve">4. </w:t>
      </w:r>
      <w:proofErr w:type="gramStart"/>
      <w:r w:rsidRPr="00A7156E">
        <w:rPr>
          <w:rFonts w:ascii="Times New Roman" w:hAnsi="Times New Roman" w:cs="Times New Roman"/>
          <w:spacing w:val="-3"/>
          <w:sz w:val="24"/>
          <w:szCs w:val="24"/>
        </w:rPr>
        <w:t>Контроль за</w:t>
      </w:r>
      <w:proofErr w:type="gramEnd"/>
      <w:r w:rsidRPr="00A7156E">
        <w:rPr>
          <w:rFonts w:ascii="Times New Roman" w:hAnsi="Times New Roman" w:cs="Times New Roman"/>
          <w:spacing w:val="-3"/>
          <w:sz w:val="24"/>
          <w:szCs w:val="24"/>
        </w:rPr>
        <w:t xml:space="preserve"> исполнением настоящего решения возложить на главу </w:t>
      </w:r>
      <w:r w:rsidRPr="00A7156E">
        <w:rPr>
          <w:rFonts w:ascii="Times New Roman" w:hAnsi="Times New Roman" w:cs="Times New Roman"/>
          <w:color w:val="000000"/>
          <w:sz w:val="24"/>
          <w:szCs w:val="24"/>
        </w:rPr>
        <w:t>Нечаевского</w:t>
      </w:r>
      <w:r w:rsidRPr="00A7156E">
        <w:rPr>
          <w:rFonts w:ascii="Times New Roman" w:hAnsi="Times New Roman" w:cs="Times New Roman"/>
          <w:spacing w:val="-3"/>
          <w:sz w:val="24"/>
          <w:szCs w:val="24"/>
        </w:rPr>
        <w:t xml:space="preserve"> сельсовета Мокшанского района Пензенской области.</w:t>
      </w:r>
    </w:p>
    <w:p w:rsidR="003F11F1" w:rsidRPr="00A7156E" w:rsidRDefault="003F11F1" w:rsidP="00A7156E">
      <w:pPr>
        <w:spacing w:after="0"/>
        <w:jc w:val="both"/>
        <w:rPr>
          <w:rFonts w:ascii="Times New Roman" w:hAnsi="Times New Roman" w:cs="Times New Roman"/>
          <w:sz w:val="24"/>
          <w:szCs w:val="24"/>
        </w:rPr>
      </w:pPr>
      <w:r w:rsidRPr="00A7156E">
        <w:rPr>
          <w:rFonts w:ascii="Times New Roman" w:hAnsi="Times New Roman" w:cs="Times New Roman"/>
          <w:sz w:val="24"/>
          <w:szCs w:val="24"/>
        </w:rPr>
        <w:t> </w:t>
      </w:r>
    </w:p>
    <w:p w:rsidR="003F11F1" w:rsidRPr="00A7156E" w:rsidRDefault="003F11F1" w:rsidP="00A7156E">
      <w:pPr>
        <w:spacing w:after="0"/>
        <w:jc w:val="both"/>
        <w:rPr>
          <w:rFonts w:ascii="Times New Roman" w:hAnsi="Times New Roman" w:cs="Times New Roman"/>
          <w:b/>
          <w:sz w:val="24"/>
          <w:szCs w:val="24"/>
        </w:rPr>
      </w:pPr>
      <w:r w:rsidRPr="00A7156E">
        <w:rPr>
          <w:rFonts w:ascii="Times New Roman" w:hAnsi="Times New Roman" w:cs="Times New Roman"/>
          <w:b/>
          <w:sz w:val="24"/>
          <w:szCs w:val="24"/>
        </w:rPr>
        <w:t xml:space="preserve">Глава Нечаевского сельсовета </w:t>
      </w:r>
    </w:p>
    <w:p w:rsidR="003F11F1" w:rsidRPr="00A7156E" w:rsidRDefault="003F11F1" w:rsidP="00A7156E">
      <w:pPr>
        <w:spacing w:after="0"/>
        <w:jc w:val="both"/>
        <w:rPr>
          <w:rFonts w:ascii="Times New Roman" w:hAnsi="Times New Roman" w:cs="Times New Roman"/>
          <w:b/>
          <w:sz w:val="24"/>
          <w:szCs w:val="24"/>
        </w:rPr>
      </w:pPr>
      <w:r w:rsidRPr="00A7156E">
        <w:rPr>
          <w:rFonts w:ascii="Times New Roman" w:hAnsi="Times New Roman" w:cs="Times New Roman"/>
          <w:b/>
          <w:sz w:val="24"/>
          <w:szCs w:val="24"/>
        </w:rPr>
        <w:t>Мокшанского района</w:t>
      </w:r>
    </w:p>
    <w:p w:rsidR="003F11F1" w:rsidRPr="00A7156E" w:rsidRDefault="003F11F1" w:rsidP="00A7156E">
      <w:pPr>
        <w:spacing w:after="0"/>
        <w:jc w:val="both"/>
        <w:rPr>
          <w:rFonts w:ascii="Times New Roman" w:hAnsi="Times New Roman" w:cs="Times New Roman"/>
          <w:b/>
          <w:sz w:val="24"/>
          <w:szCs w:val="24"/>
        </w:rPr>
      </w:pPr>
      <w:r w:rsidRPr="00A7156E">
        <w:rPr>
          <w:rFonts w:ascii="Times New Roman" w:hAnsi="Times New Roman" w:cs="Times New Roman"/>
          <w:b/>
          <w:sz w:val="24"/>
          <w:szCs w:val="24"/>
        </w:rPr>
        <w:t>Пензенской области                                                     Д.В. Медушонков</w:t>
      </w:r>
    </w:p>
    <w:p w:rsidR="003F11F1" w:rsidRPr="00A7156E" w:rsidRDefault="003F11F1" w:rsidP="00A7156E">
      <w:pPr>
        <w:spacing w:after="0"/>
        <w:jc w:val="both"/>
        <w:rPr>
          <w:rFonts w:ascii="Times New Roman" w:hAnsi="Times New Roman" w:cs="Times New Roman"/>
          <w:sz w:val="24"/>
          <w:szCs w:val="24"/>
        </w:rPr>
      </w:pPr>
    </w:p>
    <w:p w:rsidR="003F11F1" w:rsidRPr="00A7156E" w:rsidRDefault="003F11F1" w:rsidP="00A7156E">
      <w:pPr>
        <w:spacing w:after="0" w:line="240" w:lineRule="auto"/>
        <w:rPr>
          <w:rFonts w:ascii="Times New Roman" w:eastAsia="Times New Roman" w:hAnsi="Times New Roman" w:cs="Times New Roman"/>
          <w:color w:val="000000"/>
          <w:sz w:val="24"/>
          <w:szCs w:val="24"/>
          <w:lang w:eastAsia="ru-RU"/>
        </w:rPr>
      </w:pPr>
    </w:p>
    <w:sectPr w:rsidR="003F11F1" w:rsidRPr="00A71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96F"/>
    <w:rsid w:val="003F11F1"/>
    <w:rsid w:val="004A77C6"/>
    <w:rsid w:val="0068096F"/>
    <w:rsid w:val="00A7156E"/>
    <w:rsid w:val="00D57BCC"/>
    <w:rsid w:val="00E0710D"/>
    <w:rsid w:val="00EC4E10"/>
    <w:rsid w:val="00F04A52"/>
    <w:rsid w:val="00F24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B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D57BCC"/>
  </w:style>
  <w:style w:type="character" w:customStyle="1" w:styleId="2">
    <w:name w:val="Гиперссылка2"/>
    <w:basedOn w:val="a0"/>
    <w:rsid w:val="003F11F1"/>
  </w:style>
  <w:style w:type="character" w:styleId="a4">
    <w:name w:val="Hyperlink"/>
    <w:rsid w:val="003F11F1"/>
    <w:rPr>
      <w:color w:val="0000FF"/>
      <w:u w:val="single"/>
    </w:rPr>
  </w:style>
  <w:style w:type="paragraph" w:styleId="a5">
    <w:name w:val="Body Text"/>
    <w:basedOn w:val="a"/>
    <w:link w:val="a6"/>
    <w:rsid w:val="003F11F1"/>
    <w:pPr>
      <w:suppressAutoHyphens/>
      <w:spacing w:after="140"/>
    </w:pPr>
    <w:rPr>
      <w:rFonts w:ascii="Times New Roman" w:eastAsia="Times New Roman" w:hAnsi="Times New Roman" w:cs="Times New Roman"/>
      <w:sz w:val="24"/>
      <w:szCs w:val="24"/>
      <w:lang w:eastAsia="zh-CN"/>
    </w:rPr>
  </w:style>
  <w:style w:type="character" w:customStyle="1" w:styleId="a6">
    <w:name w:val="Основной текст Знак"/>
    <w:basedOn w:val="a0"/>
    <w:link w:val="a5"/>
    <w:rsid w:val="003F11F1"/>
    <w:rPr>
      <w:rFonts w:ascii="Times New Roman" w:eastAsia="Times New Roman" w:hAnsi="Times New Roman" w:cs="Times New Roman"/>
      <w:sz w:val="24"/>
      <w:szCs w:val="24"/>
      <w:lang w:eastAsia="zh-CN"/>
    </w:rPr>
  </w:style>
  <w:style w:type="paragraph" w:styleId="a7">
    <w:name w:val="Balloon Text"/>
    <w:basedOn w:val="a"/>
    <w:link w:val="a8"/>
    <w:uiPriority w:val="99"/>
    <w:semiHidden/>
    <w:unhideWhenUsed/>
    <w:rsid w:val="003F11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11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B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D57BCC"/>
  </w:style>
  <w:style w:type="character" w:customStyle="1" w:styleId="2">
    <w:name w:val="Гиперссылка2"/>
    <w:basedOn w:val="a0"/>
    <w:rsid w:val="003F11F1"/>
  </w:style>
  <w:style w:type="character" w:styleId="a4">
    <w:name w:val="Hyperlink"/>
    <w:rsid w:val="003F11F1"/>
    <w:rPr>
      <w:color w:val="0000FF"/>
      <w:u w:val="single"/>
    </w:rPr>
  </w:style>
  <w:style w:type="paragraph" w:styleId="a5">
    <w:name w:val="Body Text"/>
    <w:basedOn w:val="a"/>
    <w:link w:val="a6"/>
    <w:rsid w:val="003F11F1"/>
    <w:pPr>
      <w:suppressAutoHyphens/>
      <w:spacing w:after="140"/>
    </w:pPr>
    <w:rPr>
      <w:rFonts w:ascii="Times New Roman" w:eastAsia="Times New Roman" w:hAnsi="Times New Roman" w:cs="Times New Roman"/>
      <w:sz w:val="24"/>
      <w:szCs w:val="24"/>
      <w:lang w:eastAsia="zh-CN"/>
    </w:rPr>
  </w:style>
  <w:style w:type="character" w:customStyle="1" w:styleId="a6">
    <w:name w:val="Основной текст Знак"/>
    <w:basedOn w:val="a0"/>
    <w:link w:val="a5"/>
    <w:rsid w:val="003F11F1"/>
    <w:rPr>
      <w:rFonts w:ascii="Times New Roman" w:eastAsia="Times New Roman" w:hAnsi="Times New Roman" w:cs="Times New Roman"/>
      <w:sz w:val="24"/>
      <w:szCs w:val="24"/>
      <w:lang w:eastAsia="zh-CN"/>
    </w:rPr>
  </w:style>
  <w:style w:type="paragraph" w:styleId="a7">
    <w:name w:val="Balloon Text"/>
    <w:basedOn w:val="a"/>
    <w:link w:val="a8"/>
    <w:uiPriority w:val="99"/>
    <w:semiHidden/>
    <w:unhideWhenUsed/>
    <w:rsid w:val="003F11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11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628929">
      <w:bodyDiv w:val="1"/>
      <w:marLeft w:val="0"/>
      <w:marRight w:val="0"/>
      <w:marTop w:val="0"/>
      <w:marBottom w:val="0"/>
      <w:divBdr>
        <w:top w:val="none" w:sz="0" w:space="0" w:color="auto"/>
        <w:left w:val="none" w:sz="0" w:space="0" w:color="auto"/>
        <w:bottom w:val="none" w:sz="0" w:space="0" w:color="auto"/>
        <w:right w:val="none" w:sz="0" w:space="0" w:color="auto"/>
      </w:divBdr>
    </w:div>
    <w:div w:id="208020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minjust.ru:8080/bigs/showDocument.html?id=1260A4E3-20F8-4E82-B8E9-9F029F93609C"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3227</Words>
  <Characters>18394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6</cp:revision>
  <dcterms:created xsi:type="dcterms:W3CDTF">2020-05-06T14:56:00Z</dcterms:created>
  <dcterms:modified xsi:type="dcterms:W3CDTF">2020-05-06T16:13:00Z</dcterms:modified>
</cp:coreProperties>
</file>