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b/>
          <w:bCs/>
          <w:color w:val="000000"/>
          <w:sz w:val="32"/>
          <w:szCs w:val="32"/>
          <w:lang w:eastAsia="ru-RU"/>
        </w:rPr>
      </w:pPr>
      <w:r>
        <w:rPr>
          <w:rFonts w:ascii="Times New Roman" w:hAnsi="Times New Roman" w:eastAsia="Times New Roman" w:cs="Times New Roman"/>
          <w:b/>
          <w:bCs/>
          <w:color w:val="000000"/>
          <w:sz w:val="32"/>
          <w:szCs w:val="32"/>
          <w:lang w:eastAsia="ru-RU"/>
        </w:rPr>
        <w:drawing>
          <wp:inline distT="0" distB="0" distL="0" distR="0">
            <wp:extent cx="685800" cy="923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rcRect/>
                    <a:stretch>
                      <a:fillRect/>
                    </a:stretch>
                  </pic:blipFill>
                  <pic:spPr>
                    <a:xfrm>
                      <a:off x="0" y="0"/>
                      <a:ext cx="685800" cy="923925"/>
                    </a:xfrm>
                    <a:prstGeom prst="rect">
                      <a:avLst/>
                    </a:prstGeom>
                    <a:noFill/>
                  </pic:spPr>
                </pic:pic>
              </a:graphicData>
            </a:graphic>
          </wp:inline>
        </w:drawing>
      </w:r>
      <w:r>
        <w:rPr>
          <w:rFonts w:ascii="Times New Roman" w:hAnsi="Times New Roman" w:eastAsia="Times New Roman" w:cs="Times New Roman"/>
          <w:b/>
          <w:bCs/>
          <w:color w:val="000000"/>
          <w:sz w:val="32"/>
          <w:szCs w:val="32"/>
          <w:lang w:eastAsia="ru-RU"/>
        </w:rPr>
        <w:t xml:space="preserve">       </w:t>
      </w:r>
    </w:p>
    <w:p>
      <w:pPr>
        <w:spacing w:after="0" w:line="240" w:lineRule="auto"/>
        <w:jc w:val="center"/>
        <w:rPr>
          <w:rFonts w:ascii="Times New Roman" w:hAnsi="Times New Roman" w:eastAsia="Times New Roman" w:cs="Times New Roman"/>
          <w:b/>
          <w:bCs/>
          <w:color w:val="000000"/>
          <w:sz w:val="32"/>
          <w:szCs w:val="32"/>
          <w:lang w:eastAsia="ru-RU"/>
        </w:rPr>
      </w:pPr>
    </w:p>
    <w:p>
      <w:pPr>
        <w:spacing w:after="0" w:line="240" w:lineRule="auto"/>
        <w:jc w:val="center"/>
        <w:rPr>
          <w:rFonts w:ascii="Times New Roman" w:hAnsi="Times New Roman" w:eastAsia="Times New Roman" w:cs="Times New Roman"/>
          <w:b/>
          <w:bCs/>
          <w:color w:val="000000"/>
          <w:sz w:val="32"/>
          <w:szCs w:val="32"/>
          <w:lang w:eastAsia="ru-RU"/>
        </w:rPr>
      </w:pPr>
      <w:r>
        <w:rPr>
          <w:rFonts w:ascii="Times New Roman" w:hAnsi="Times New Roman" w:eastAsia="Times New Roman" w:cs="Times New Roman"/>
          <w:b/>
          <w:bCs/>
          <w:color w:val="000000"/>
          <w:sz w:val="32"/>
          <w:szCs w:val="32"/>
          <w:lang w:eastAsia="ru-RU"/>
        </w:rPr>
        <w:t>АДМИНИСТРАЦИЯ БОГОРОДСКОГО СЕЛЬСОВЕТА МОКШАНСКОГО РАЙОНА ПЕНЗЕНСКОЙ ОБЛАСТИ</w:t>
      </w:r>
    </w:p>
    <w:p>
      <w:pPr>
        <w:spacing w:after="0" w:line="240" w:lineRule="auto"/>
        <w:ind w:firstLine="567"/>
        <w:jc w:val="center"/>
        <w:rPr>
          <w:rFonts w:ascii="Times New Roman" w:hAnsi="Times New Roman" w:eastAsia="Times New Roman" w:cs="Times New Roman"/>
          <w:b/>
          <w:bCs/>
          <w:color w:val="000000"/>
          <w:sz w:val="32"/>
          <w:szCs w:val="32"/>
          <w:lang w:eastAsia="ru-RU"/>
        </w:rPr>
      </w:pPr>
    </w:p>
    <w:p>
      <w:pPr>
        <w:spacing w:after="0" w:line="240" w:lineRule="auto"/>
        <w:ind w:firstLine="567"/>
        <w:jc w:val="center"/>
        <w:rPr>
          <w:rFonts w:ascii="Times New Roman" w:hAnsi="Times New Roman" w:eastAsia="Times New Roman" w:cs="Times New Roman"/>
          <w:color w:val="000000"/>
          <w:sz w:val="32"/>
          <w:szCs w:val="32"/>
          <w:lang w:eastAsia="ru-RU"/>
        </w:rPr>
      </w:pPr>
      <w:r>
        <w:rPr>
          <w:rFonts w:ascii="Times New Roman" w:hAnsi="Times New Roman" w:eastAsia="Times New Roman" w:cs="Times New Roman"/>
          <w:b/>
          <w:bCs/>
          <w:color w:val="000000"/>
          <w:sz w:val="32"/>
          <w:szCs w:val="32"/>
          <w:lang w:eastAsia="ru-RU"/>
        </w:rPr>
        <w:t xml:space="preserve">   ПОСТАНОВЛЕНИЕ</w:t>
      </w:r>
    </w:p>
    <w:p>
      <w:pPr>
        <w:spacing w:after="0" w:line="240" w:lineRule="auto"/>
        <w:ind w:firstLine="567"/>
        <w:jc w:val="center"/>
        <w:rPr>
          <w:rFonts w:ascii="Times New Roman" w:hAnsi="Times New Roman" w:eastAsia="Times New Roman" w:cs="Times New Roman"/>
          <w:bCs/>
          <w:color w:val="000000"/>
          <w:sz w:val="24"/>
          <w:szCs w:val="24"/>
          <w:lang w:eastAsia="ru-RU"/>
        </w:rPr>
      </w:pPr>
    </w:p>
    <w:p>
      <w:pPr>
        <w:spacing w:after="0" w:line="240" w:lineRule="auto"/>
        <w:ind w:firstLine="567"/>
        <w:jc w:val="center"/>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bCs/>
          <w:color w:val="000000"/>
          <w:sz w:val="24"/>
          <w:szCs w:val="24"/>
          <w:lang w:eastAsia="ru-RU"/>
        </w:rPr>
        <w:t xml:space="preserve">от </w:t>
      </w:r>
      <w:r>
        <w:rPr>
          <w:rFonts w:hint="default" w:ascii="Times New Roman" w:hAnsi="Times New Roman" w:eastAsia="Times New Roman" w:cs="Times New Roman"/>
          <w:bCs/>
          <w:color w:val="000000"/>
          <w:sz w:val="24"/>
          <w:szCs w:val="24"/>
          <w:lang w:val="en-US" w:eastAsia="ru-RU"/>
        </w:rPr>
        <w:t xml:space="preserve">11.02.2022 </w:t>
      </w:r>
      <w:r>
        <w:rPr>
          <w:rFonts w:ascii="Times New Roman" w:hAnsi="Times New Roman" w:eastAsia="Times New Roman" w:cs="Times New Roman"/>
          <w:bCs/>
          <w:color w:val="000000"/>
          <w:sz w:val="24"/>
          <w:szCs w:val="24"/>
          <w:lang w:eastAsia="ru-RU"/>
        </w:rPr>
        <w:t>№ </w:t>
      </w:r>
      <w:r>
        <w:rPr>
          <w:rFonts w:hint="default" w:ascii="Times New Roman" w:hAnsi="Times New Roman" w:eastAsia="Times New Roman" w:cs="Times New Roman"/>
          <w:bCs/>
          <w:color w:val="000000"/>
          <w:sz w:val="24"/>
          <w:szCs w:val="24"/>
          <w:lang w:val="en-US" w:eastAsia="ru-RU"/>
        </w:rPr>
        <w:t>21</w:t>
      </w:r>
    </w:p>
    <w:p>
      <w:pPr>
        <w:spacing w:after="0" w:line="240" w:lineRule="auto"/>
        <w:ind w:firstLine="567"/>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с.Богородское</w:t>
      </w:r>
    </w:p>
    <w:p>
      <w:pPr>
        <w:spacing w:after="0" w:line="240" w:lineRule="auto"/>
        <w:ind w:firstLine="567"/>
        <w:jc w:val="center"/>
        <w:rPr>
          <w:rFonts w:ascii="Times New Roman" w:hAnsi="Times New Roman" w:eastAsia="Times New Roman" w:cs="Times New Roman"/>
          <w:color w:val="000000"/>
          <w:sz w:val="24"/>
          <w:szCs w:val="24"/>
          <w:lang w:eastAsia="ru-RU"/>
        </w:rPr>
      </w:pPr>
    </w:p>
    <w:p>
      <w:pPr>
        <w:spacing w:after="0" w:line="240" w:lineRule="auto"/>
        <w:ind w:firstLine="567"/>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Об утверждении Положения об организации похоронного дела на территории Богородского сельсовета Мокшанского района Пензенской области</w:t>
      </w:r>
    </w:p>
    <w:p>
      <w:pPr>
        <w:spacing w:after="0" w:line="240" w:lineRule="auto"/>
        <w:ind w:firstLine="567"/>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соответствии с Федеральным законом от 12.01.1996 №8-ФЗ «О погребении и похоронном деле», Федеральным законом от 06.10.2003 №131-ФЗ «Об общих принципах организации местного самоуправления в Российской Федерации», </w:t>
      </w:r>
      <w:r>
        <w:fldChar w:fldCharType="begin"/>
      </w:r>
      <w:r>
        <w:instrText xml:space="preserve"> HYPERLINK "http://pravo-search.minjust.ru:8080/bigs/showDocument.html?id=13A530AF-AC6F-46AA-BB69-D438C2B34730" \t "_blank" </w:instrText>
      </w:r>
      <w:r>
        <w:fldChar w:fldCharType="separate"/>
      </w:r>
      <w:r>
        <w:rPr>
          <w:rFonts w:ascii="Times New Roman" w:hAnsi="Times New Roman" w:eastAsia="Times New Roman" w:cs="Times New Roman"/>
          <w:color w:val="0000FF"/>
          <w:sz w:val="28"/>
          <w:szCs w:val="28"/>
          <w:lang w:eastAsia="ru-RU"/>
        </w:rPr>
        <w:t>Уставом Богородского сельсовета Мокшанского района Пензенской области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w:t>
      </w:r>
    </w:p>
    <w:p>
      <w:pPr>
        <w:spacing w:after="0" w:line="240" w:lineRule="auto"/>
        <w:ind w:firstLine="567"/>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pPr>
        <w:spacing w:after="0" w:line="240" w:lineRule="auto"/>
        <w:ind w:firstLine="567"/>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администрация Богородского сельсовета Мокшанского района Пензенской области постановляет:</w:t>
      </w:r>
    </w:p>
    <w:p>
      <w:pPr>
        <w:spacing w:after="0" w:line="240" w:lineRule="auto"/>
        <w:ind w:firstLine="567"/>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 </w:t>
      </w:r>
    </w:p>
    <w:p>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Утвердить Положение об организации похоронного дела на территории Богородского сельсовета Мокшанского района Пензенской области (прилагается).</w:t>
      </w:r>
    </w:p>
    <w:p>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Опубликовать настоящее постановления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p>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Настоящее постановление вступает в силу после его официального опубликования.</w:t>
      </w:r>
    </w:p>
    <w:p>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pPr>
        <w:pStyle w:val="5"/>
        <w:spacing w:before="0" w:beforeAutospacing="0" w:after="0" w:afterAutospacing="0"/>
        <w:jc w:val="left"/>
        <w:rPr>
          <w:sz w:val="28"/>
          <w:szCs w:val="28"/>
        </w:rPr>
      </w:pPr>
      <w:r>
        <w:rPr>
          <w:sz w:val="28"/>
          <w:szCs w:val="28"/>
        </w:rPr>
        <w:t>Глава администрации</w:t>
      </w:r>
    </w:p>
    <w:p>
      <w:pPr>
        <w:pStyle w:val="5"/>
        <w:spacing w:before="0" w:beforeAutospacing="0" w:after="0" w:afterAutospacing="0"/>
        <w:jc w:val="left"/>
        <w:rPr>
          <w:sz w:val="28"/>
          <w:szCs w:val="28"/>
        </w:rPr>
      </w:pPr>
      <w:r>
        <w:rPr>
          <w:sz w:val="28"/>
          <w:szCs w:val="28"/>
        </w:rPr>
        <w:t>Богородского сельсовета</w:t>
      </w:r>
    </w:p>
    <w:p>
      <w:pPr>
        <w:pStyle w:val="5"/>
        <w:spacing w:before="0" w:beforeAutospacing="0" w:after="0" w:afterAutospacing="0"/>
        <w:jc w:val="left"/>
        <w:rPr>
          <w:sz w:val="28"/>
          <w:szCs w:val="28"/>
        </w:rPr>
      </w:pPr>
      <w:r>
        <w:rPr>
          <w:sz w:val="28"/>
          <w:szCs w:val="28"/>
        </w:rPr>
        <w:t>Мокшанского района</w:t>
      </w:r>
    </w:p>
    <w:p>
      <w:pPr>
        <w:pStyle w:val="5"/>
        <w:spacing w:before="0" w:beforeAutospacing="0" w:after="0" w:afterAutospacing="0"/>
        <w:jc w:val="left"/>
        <w:rPr>
          <w:sz w:val="28"/>
          <w:szCs w:val="28"/>
        </w:rPr>
      </w:pPr>
      <w:r>
        <w:rPr>
          <w:sz w:val="28"/>
          <w:szCs w:val="28"/>
        </w:rPr>
        <w:t>Пензенской области                                 Ю.Н.Зоткина</w:t>
      </w: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ПРИЛОЖЕНИЕ</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УТВЕРЖДЕНО</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постановлением администрации</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Богородского сельсовета </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Мокшанского района</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Пензенской области</w:t>
      </w:r>
    </w:p>
    <w:p>
      <w:pPr>
        <w:spacing w:after="0" w:line="240" w:lineRule="auto"/>
        <w:ind w:firstLine="567"/>
        <w:jc w:val="right"/>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 xml:space="preserve">от </w:t>
      </w:r>
      <w:r>
        <w:rPr>
          <w:rFonts w:hint="default" w:ascii="Times New Roman" w:hAnsi="Times New Roman" w:eastAsia="Times New Roman" w:cs="Times New Roman"/>
          <w:color w:val="000000"/>
          <w:sz w:val="24"/>
          <w:szCs w:val="24"/>
          <w:lang w:val="en-US" w:eastAsia="ru-RU"/>
        </w:rPr>
        <w:t xml:space="preserve">11.01.2022 </w:t>
      </w:r>
      <w:r>
        <w:rPr>
          <w:rFonts w:ascii="Times New Roman" w:hAnsi="Times New Roman" w:eastAsia="Times New Roman" w:cs="Times New Roman"/>
          <w:color w:val="000000"/>
          <w:sz w:val="24"/>
          <w:szCs w:val="24"/>
          <w:lang w:eastAsia="ru-RU"/>
        </w:rPr>
        <w:t>№</w:t>
      </w:r>
      <w:r>
        <w:rPr>
          <w:rFonts w:hint="default" w:ascii="Times New Roman" w:hAnsi="Times New Roman" w:eastAsia="Times New Roman" w:cs="Times New Roman"/>
          <w:color w:val="000000"/>
          <w:sz w:val="24"/>
          <w:szCs w:val="24"/>
          <w:lang w:val="en-US" w:eastAsia="ru-RU"/>
        </w:rPr>
        <w:t>21</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ПОЛОЖЕНИЕ</w:t>
      </w:r>
    </w:p>
    <w:p>
      <w:pPr>
        <w:spacing w:after="0" w:line="240" w:lineRule="auto"/>
        <w:ind w:firstLine="567"/>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об организации похоронного дела на территории Богородского сельсовета Мокшанского района Пензенской области</w:t>
      </w:r>
    </w:p>
    <w:p>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pPr>
        <w:spacing w:after="0" w:line="240" w:lineRule="auto"/>
        <w:ind w:firstLine="567"/>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1.ОБЩИЕ ПОЛОЖЕНИЯ</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1.1.Положение об организации похоронного дела на территории Богородского сельсовета Мокшанского района Пензенской области (далее - Положение) определяет систему организации похоронного дела на территории Богородского сельсовета Мокшанского района Пензенской области (далее – сельсовет), разработано в целях реализации полномочий органов местного самоуправления в области организации ритуальных услуг в соответствии с Федеральным законом от 12.01.1996 №8-ФЗ «О погребении и похоронном деле», Федеральным законом от 06.10.2003 №131-ФЗ «Об общих принципах организации местного самоуправления в Российской Федерации», </w:t>
      </w:r>
      <w:r>
        <w:fldChar w:fldCharType="begin"/>
      </w:r>
      <w:r>
        <w:instrText xml:space="preserve"> HYPERLINK "http://pravo-search.minjust.ru:8080/bigs/showDocument.html?id=13A530AF-AC6F-46AA-BB69-D438C2B34730" \t "_blank" </w:instrText>
      </w:r>
      <w:r>
        <w:fldChar w:fldCharType="separate"/>
      </w:r>
      <w:r>
        <w:rPr>
          <w:rFonts w:ascii="Times New Roman" w:hAnsi="Times New Roman" w:eastAsia="Times New Roman" w:cs="Times New Roman"/>
          <w:color w:val="0000FF"/>
          <w:sz w:val="24"/>
          <w:szCs w:val="24"/>
          <w:lang w:eastAsia="ru-RU"/>
        </w:rPr>
        <w:t>Уставом Богородского сельсовета Мокшанского района Пензенской области</w:t>
      </w:r>
      <w:r>
        <w:rPr>
          <w:rFonts w:ascii="Times New Roman" w:hAnsi="Times New Roman" w:eastAsia="Times New Roman" w:cs="Times New Roman"/>
          <w:color w:val="0000FF"/>
          <w:sz w:val="24"/>
          <w:szCs w:val="24"/>
          <w:lang w:eastAsia="ru-RU"/>
        </w:rPr>
        <w:fldChar w:fldCharType="end"/>
      </w:r>
      <w:r>
        <w:rPr>
          <w:rFonts w:ascii="Times New Roman" w:hAnsi="Times New Roman" w:eastAsia="Times New Roman" w:cs="Times New Roman"/>
          <w:color w:val="000000"/>
          <w:sz w:val="24"/>
          <w:szCs w:val="24"/>
          <w:lang w:eastAsia="ru-RU"/>
        </w:rPr>
        <w:t>.</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1.2.Настоящее Положение регулирует отношения, связанные с погребением умерших, и устанавливает:</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1)гарантии погребения умершего с учетом волеизъявления, выраженного лицом при жизни, и пожелания родственников;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2)гарантии предоставления материальной и иной помощи для погребения умершего;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3)санитарные и экологические требования к выбору и содержанию мест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4)порядок организации похоронного дела в сельсовете.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1.3.Настоящее Положение является обязательным для физических и юридических лиц, осуществляющих деятельность в сфере похоронного дела на территории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2.ПОНЯТИЯ И ОПРЕДЕЛЕНИЯ, ИСПОЛЬЗУЕМЫЕ В ПОЛОЖЕНИИ</w:t>
      </w: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настоящем положении используются следующие понятия и определения: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Захоронение - процесс предания земле останков умерших или погибших в гробе или без гроба, помещения гроба с останками в склеп, саркофаг, мавзолей, пантеон и процесс помещения урн с прахом в могилы и колумбарные ниши или развеивания праха на специально отведенных участках.</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Родственное захоронение - место захоронения, предоставляемое бесплатно на территории общественных кладбищ для погребения умершего (погибшего) таким образом, чтобы гарантировать погребение на этом же месте захоронения супруга или близкого родственника умершего (погибшего).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Одиночное захоронение - место захоронения, предоставляемое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fldChar w:fldCharType="begin"/>
      </w:r>
      <w:r>
        <w:rPr>
          <w:rFonts w:ascii="Times New Roman" w:hAnsi="Times New Roman" w:eastAsia="Times New Roman" w:cs="Times New Roman"/>
          <w:color w:val="000000"/>
          <w:sz w:val="24"/>
          <w:szCs w:val="24"/>
          <w:lang w:eastAsia="ru-RU"/>
        </w:rPr>
        <w:instrText xml:space="preserve"> = 2 \* Arabic \* MERGEFORMAT </w:instrText>
      </w:r>
      <w:r>
        <w:rPr>
          <w:rFonts w:ascii="Times New Roman" w:hAnsi="Times New Roman" w:eastAsia="Times New Roman" w:cs="Times New Roman"/>
          <w:color w:val="000000"/>
          <w:sz w:val="24"/>
          <w:szCs w:val="24"/>
          <w:lang w:eastAsia="ru-RU"/>
        </w:rPr>
        <w:fldChar w:fldCharType="separate"/>
      </w:r>
      <w:r>
        <w:t>2</w:t>
      </w:r>
      <w:r>
        <w:rPr>
          <w:rFonts w:ascii="Times New Roman" w:hAnsi="Times New Roman" w:eastAsia="Times New Roman" w:cs="Times New Roman"/>
          <w:color w:val="000000"/>
          <w:sz w:val="24"/>
          <w:szCs w:val="24"/>
          <w:lang w:eastAsia="ru-RU"/>
        </w:rPr>
        <w:fldChar w:fldCharType="end"/>
      </w:r>
    </w:p>
    <w:p>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заявило о создании родственного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 погребение.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Семейное (родовое) захоронение - место захоронения, предоставляемое на территории общественных кладбищ для погребения трех и более умерших (погибших) родственников.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Братское захоронение - место захоронения, предоставляемое бесплатно на территории кладбищ для погребения жертв массовых катастроф или чрезвычайных ситуаций, личность каждого из которых не установлена, чьи останки сохранились не целиком или не могут быть идентифицированы.</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Воинское захоронение - участок общественного кладбища, предназначенный для погребения умерших или погибших военнослужащих и граждан приравненных к ним категорий с соблюдением воинского обряда похорон.</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Зона захоронений - функционально-территориальная зона кладбища, на которой осуществляется погребение.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Гарантия осуществления погребения - совокупность гарантий, обеспечивающих выполнение погребения умершего или погибшего в соответствии с действующим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Гарантированный перечень услуг по погребению - перечень услуг, предоставляемых на безвозмездной основе гражданам Российской Федерации, гарантированный действующим законодательством Российской Федерации. Обязанность предоставления гарантированного перечня услуг по погребению возложена действующим законодательством на специализированную службу по вопросам похоронного дела.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Кладбище - градостроительный комплекс, расположенный в границах места погребения и содержащий земельные участки для погребения умерших (погибших), праха после кремации.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Лицо, ответственное за захоронение - лицо, указанное в волеизъявлении умершего (погибшего) об осуществлении погребения, либо супруг, близкие родственники (дети, родители, усыновленные, усыновители, родные братья и родные сестры, внуки, дедушка, бабушка), иные родственники, законный представитель умершего (погибшего) или иные лица, взявшие на себя обязательство по погребению умершего (погибшего), оформлению места захоронения, обеспечения надлежащего содержания места захоронения и постоянного ухода за ним.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Место захоронения - часть пространства объекта похоронного назначения, предназначенная для захоронения останков или праха умерших или погибших.</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Могила - земляное сооружение в виде выемки в естественном грунте, предназначенное для захоронения останков умершего или погибшего в гробу или без него, или урн с прахом.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Надмогильное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fldChar w:fldCharType="begin"/>
      </w:r>
      <w:r>
        <w:rPr>
          <w:rFonts w:ascii="Times New Roman" w:hAnsi="Times New Roman" w:eastAsia="Times New Roman" w:cs="Times New Roman"/>
          <w:color w:val="000000"/>
          <w:sz w:val="24"/>
          <w:szCs w:val="24"/>
          <w:lang w:eastAsia="ru-RU"/>
        </w:rPr>
        <w:instrText xml:space="preserve"> = 3 \* Arabic \* MERGEFORMAT </w:instrText>
      </w:r>
      <w:r>
        <w:rPr>
          <w:rFonts w:ascii="Times New Roman" w:hAnsi="Times New Roman" w:eastAsia="Times New Roman" w:cs="Times New Roman"/>
          <w:color w:val="000000"/>
          <w:sz w:val="24"/>
          <w:szCs w:val="24"/>
          <w:lang w:eastAsia="ru-RU"/>
        </w:rPr>
        <w:fldChar w:fldCharType="separate"/>
      </w:r>
      <w:r>
        <w:t>3</w:t>
      </w:r>
      <w:r>
        <w:rPr>
          <w:rFonts w:ascii="Times New Roman" w:hAnsi="Times New Roman" w:eastAsia="Times New Roman" w:cs="Times New Roman"/>
          <w:color w:val="000000"/>
          <w:sz w:val="24"/>
          <w:szCs w:val="24"/>
          <w:lang w:eastAsia="ru-RU"/>
        </w:rPr>
        <w:fldChar w:fldCharType="end"/>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Общественное кладбище - объект похоронного назначения, предназначенный для погребения умерших или погибших с учетом их волеизъявления либо по решению специализированной службы по вопросам похоронного дела.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Вероисповедальное кладбище - объект похоронного назначения, предназначенный для погребения тел (останков) и праха умерших или погибших, принадлежащих при жизни к одной религии (конфессии), с соблюдением соответствующих канонов и обрядов.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Останки - тело умершего (погибшего).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Прах - останки тела умершего (погибшего) после кремации.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Погребение - обрядовые действия по захоронению тела (останков) человека после его смерти в соответствии с обычаями и традициями, существующими на территории сельсовета, не противоречащие санитарным, экологическим и иным установленным нормам и правилам.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Похоронное дело - самостоятельный вид деятельности, направленный на оказание ритуальных, юридических, производственных, обрядовых (кроме религиозных) и иных сопутствующих услуг, связанных с созданием и эксплуатацией объектов похоронного назначения, а также организацией и проведением похорон.</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Похоронный регистрационный знак - табличка с указанием фамилии, инициалов и даты погребения умершего или погибшего, дат его рождения и смерти, а также номера участка, на котором произведено погребение.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Ритуальные организации - юридические лица и индивидуальные предприниматели, осуществляющие предпринимательскую деятельность без образования юридического лица, зарегистрированные в установленном законодательством Российской Федерации порядке, не имеющие статуса специализированной службы по вопросам похоронного дела, и которые вправе оказывать на территории сельсовета ритуальные и сопутствующие ритуальным услуги, в том числе услуги по погребению.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Специализированная служба по вопросам похоронного дела – организация, осуществляющая деятельность по погребению и оказанию услуг по погребению.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Кладбищенский период- время разложения и минерализации тела умершего.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3.ОРГАНИЗАЦИЯ ПОХОРОННОГО ДЕЛА НА ТЕРРИТОРИИ СЕЛЬСОВЕТА</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3.1.Организация похоронного дела на территории сельсовета осуществляется администрацией Богородского сельсовета Мокшанского района Пензенской области (далее – Администрация сельсовета) в пределах ее компетенции в соответствии с действующим законодательством Российской Федерации, Пензенской области, муниципальными правовыми актами органа местного самоуправления.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Ритуальные, сопутствующие ритуальные услуги, а также услуги по погребению (в т.ч. в части гарантированного перечня) вправе оказывать не имеющие статуса специализированной службы по вопросам похоронного дела юридические лица и индивидуальные предприниматели, осуществляющие деятельность без образования юридического лица (далее - ритуальные организации).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Гарантии осуществления погребения умершего реализуются путем организации в сельсовете похоронного дела как самостоятельного вида деятельности.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3.2.К полномочиям администрации Богородского сельсовета Мокшанского района Пензенской области (далее – администрация сельсовета) в сфере организации похоронного дела относится:</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fldChar w:fldCharType="begin"/>
      </w:r>
      <w:r>
        <w:rPr>
          <w:rFonts w:ascii="Times New Roman" w:hAnsi="Times New Roman" w:eastAsia="Times New Roman" w:cs="Times New Roman"/>
          <w:color w:val="000000"/>
          <w:sz w:val="24"/>
          <w:szCs w:val="24"/>
          <w:lang w:eastAsia="ru-RU"/>
        </w:rPr>
        <w:instrText xml:space="preserve"> = 4 \* Arabic \* MERGEFORMAT </w:instrText>
      </w:r>
      <w:r>
        <w:rPr>
          <w:rFonts w:ascii="Times New Roman" w:hAnsi="Times New Roman" w:eastAsia="Times New Roman" w:cs="Times New Roman"/>
          <w:color w:val="000000"/>
          <w:sz w:val="24"/>
          <w:szCs w:val="24"/>
          <w:lang w:eastAsia="ru-RU"/>
        </w:rPr>
        <w:fldChar w:fldCharType="separate"/>
      </w:r>
      <w:r>
        <w:t>4</w:t>
      </w:r>
      <w:r>
        <w:rPr>
          <w:rFonts w:ascii="Times New Roman" w:hAnsi="Times New Roman" w:eastAsia="Times New Roman" w:cs="Times New Roman"/>
          <w:color w:val="000000"/>
          <w:sz w:val="24"/>
          <w:szCs w:val="24"/>
          <w:lang w:eastAsia="ru-RU"/>
        </w:rPr>
        <w:fldChar w:fldCharType="end"/>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3.2.1.установление требований к качеству услуг, предоставляемых согласно гарантированному перечню услуг по погребению;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3.2.2.разработка и утверждение порядка деятельности кладбищ на территории сельского поселения;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3.2.3.установление размера предоставляемого участка земли на территории кладбища для погребения умершего;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3.2.4.определение стоимости услуг, предоставляемых согласно гарантированному перечню услуг по погребению;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3.2.5.определение порядка принятия решений о создании, реорганизации и ликвидации муниципальных предприятий и учреждений в сфере предоставления ритуальных услуг, а также решений об установлении тарифов на услуги муниципальных предприятий и учреждений в сфере предоставления ритуальных услуг.</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3.3.К полномочиям Администрации сельсовета в сфере организации похоронного дела относится: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3.3.1.осуществление отвода земельного участка для размещения места погребения в соответствии с действующим законодательством Российской Федерации, а также в соответствии с проектной документацией, утвержденной в порядке, установленном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3.3.2.обеспечение рационального размещения объектов похоронного назначения на территории сельсовета в соответствии с градостроительными нормативами;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3.3.3.разработка проектов муниципальных нормативных правовых актов органов местного самоуправления поселения по вопросам погребения и похоронного дела в пределах полномочий установленных действующим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3.3.4.проведение ежегодного комплексного анализа отрасли и мониторинга состояния оказания ритуальных услуг;</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3.3.5.разработка и реализация мероприятий по созданию новых, а также эксплуатации, реконструкции, ремонту, расширению, закрытию или переносу действующих кладбищ;</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3.3.6.осуществление мероприятий по принятию в муниципальную собственность бесхозяйных кладбищ, расположенных на территории сельского поселения;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3.3.7.осуществление контроля за использованием кладбищ и иных объектов похоронного назначения, находящихся в собственности сельского поселения, исключительно по целевому назначению;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3.3.8.принятие мер к устранению допущенных нарушений и ликвидации неблагоприятного воздействия места погребения на окружающую среду и здоровье человека в установленном законом порядке;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3.3.9.создание специализированной службы по вопросам похоронного дела на территории сельского поселения или признание организации специализированной службой по вопросам похоронного дела;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3.3.10.координация и порядок взаимодействия всех хозяйствующих субъектов по реализации единой политики в сфере организации погребения и похоронного дела в сельсовете.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3.3.11.приостановление или прекращение деятельности обслуживающей организации в случае нарушения санитарных и экологических требований к содержанию места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3.3.12.контроль за деятельностью специализированной службы по вопросам похоронного дела;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3.3.13.проведение проверки в сфере предоставления ритуальных услуг, санитарного содержания территорий кладбищ, благоустройства территорий кладбищ, </w:t>
      </w:r>
    </w:p>
    <w:p>
      <w:pPr>
        <w:spacing w:after="0" w:line="240" w:lineRule="auto"/>
        <w:ind w:firstLine="567"/>
        <w:jc w:val="both"/>
        <w:rPr>
          <w:rFonts w:ascii="Times New Roman" w:hAnsi="Times New Roman" w:eastAsia="Times New Roman" w:cs="Times New Roman"/>
          <w:color w:val="000000"/>
          <w:sz w:val="24"/>
          <w:szCs w:val="24"/>
          <w:lang w:eastAsia="ru-RU"/>
        </w:rPr>
      </w:pPr>
    </w:p>
    <w:p>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 направлением материалов в правоохранительные органы для применения мер административного воздействия к юридическим и физическим лицам в соответствии с действующим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3.3.14.определение порядка проведения инвентаризации мест захоронения на кладбищах (действующих и закрытых) и проведение либо организация мероприятий по ее проведению;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3.3.15.формирование и ведение реестра кладбищ, расположенных на территории сельского поселения;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3.3.16.ведение учета всех видов захоронений, произведенных на территории сельского поселения.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3.3.17.организация формирования и содержания архивного фонда документов по погребению умерших (погибших) и мест захоронения;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3.3.18.передача в муниципальный архив на постоянное хранение оконченных делопроизводством книг регистрации захоронений;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3.3.19.принятие решений о перезахоронении останков умерших (погибших);</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3.3.20.принятие решения о предоставлении места для создания семейного (родственного) захоронения;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3.3.21.ведение информационно-разъяснительной работы о порядке предоставления и стоимости услуг, предоставляемых согласно гарантированному перечню услуг по погребению, об условиях получения социального пособия на погребение;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3.3.22.осуществление иных полномочий в сфере организации похоронного дела в соответствии с законодательством Российской Федерации, Пензенской области, нормативными правовыми актами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3.1.ПОДЗАХОРОНЕНИЕ В РОДСТВЕННУЮ ИЛИ СЕМЕЙНУЮ (РОДОВУЮ) МОГИЛУ</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3.1.1.Разрешение на подзахоронение в родственную могилу или семейное (родовое) захоронение выдается специалистом администрации на основании следующих документов: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-свидетельства о смерти умершего (погибшего), выдаваемого органами ЗАГС, или медицинского свидетельства о смерти умершего (погибшего);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-удостоверения о захоронении (при наличии);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-письменного заявления лица, осуществляющего организацию погребения, о подзахоронении на месте семейного (родового) захоронения.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Разрешение на подзахоронение в родственную могилу или семейное (родовое) захоронение может быть выдано в случае, если умерший (погибший)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3.1.2.Специалист администрации после получения документов, указанных в пункте 3.1.1. настоящего Порядка, проверяет соответствие надписи на надмогильном сооружении родственной могилы или семейного (родового) захоронения представленным документам и принимает решение о возможности погребения умершего (погибшего) в родственную могилу, на участке в пределах родственной могилы или в семейное (родовое) захоронение в присутствии заявителя.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3.1.3.Повторное захоронение в одну и ту же могилу тел родственника (родственников) разрешается органами исполнительной власти субъектов Российской </w:t>
      </w:r>
    </w:p>
    <w:p>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Федерации или органами местного самоуправления 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отсутствии архивных документов захоронение умерших (погибших) в родственную могилу или на свободном месте земельного участка родственного захоронения осуществляется по разрешению, выданному Специализированной службой - безвозмездно на основании письменного заявления близкого родственника захороненного (степень родства подтверждается соответствующими документами) и при предъявлении им документов, подтверждающих захоронение на данном общественном кладбище.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4.СПЕЦИАЛИЗИРОВАННАЯ СЛУЖБА ПО ВОПРОСАМ ПОХОРОННОГО ДЕЛА</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4.1.Специализированная служба по вопросам похоронного дела создается в соответствии с действующим законодательством Российской Федерации в форме муниципального учреждения либо назначается таковой Администрацией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4.2.Специализированная служба по вопросам похоронного дела несет ответственность за осуществление гарантий погребения, исполнение волеизъявления умершего о погребении, предоставление гарантированных Федеральным законом «О погребении и похоронном деле»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 Отказ специализированной службы по вопросам похоронного дела в оказании услуг по погребению на безвозмездной основе не допускается.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5.ИСПОЛНЕНИЕ ВОЛЕИЗЪЯВЛЕНИЯ УМЕРШЕГО О ДОСТОЙНОМ ОТНОШЕНИИ К ЕГО ТЕЛУ ПОСЛЕ СМЕРТИ И О ПОГРЕБЕНИИ</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5.1.Захоронение останков тел умерших (погибших) или их праха проводится в целях обеспечения санитарно-эпидемиологического и социального благополучия населения сельсовета, сохранения его физического и психического здоровья, поддержания нормального функционирования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5.2.На территории сельсовета каждому человеку после его смерти гарантируется погребение с учетом его волеизъявления, а также предоставление бесплатно участка земли для погребения его тела (останков).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5.3.Волеизъявление лица о достойном отношении к его телу после смерти (далее - волеизъявление умершего) - пожелание, выраженное в устной форме в присутствии свидетелей или в письменной форме: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 согласии или несогласии быть подвергнутым патолого-анатомическому вскрытию;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 согласии или несогласии на изъятие органов и (или) тканей из его тела;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быть погребенным на том или ином месте, по тем или иным обычаям или традициям, рядом с теми или иными ранее умершими;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быть подвергнутым кремации;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 доверии исполнить свое волеизъявление тому или иному лицу.</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5.4.Действия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w:t>
      </w:r>
    </w:p>
    <w:p>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которых исполнение волеизъявления умершего невозможно, либо иное не установлено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5.5.В случае отсутствия волеизъявления умершего право на разрешение действий, указанных в пункте 5.3. Положения, имеют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5.6.Исполнение волеизъявления умершего о погребении его тела (останков) или праха на указанном им месте погребения рядом с ранее умершим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волеизъявления умершего о погребении его тела (останков) или праха на указанном им месте определяется Администрацией сельсовета с учетом места смерти, наличия на указанном месте погребения свободного участка земли.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5.7.Исполнение волеизъявления умершего о погребении его тела (останков) или праха на указанном им месте погребения в случае его смерти в ином населенном пункте или на территории иностранного государства гарантируется в части содействия лицу, взявшему на себя обязанность осуществить погребение умершего и оплатить связанные с погребением расходы, в получении в установленные законодательством Российской Федерации сроки справки о смерти, разрешения на перевозку тела (останков) умершего, а также проездных документов, включая документы на пересечение государственных границ. Указанное содействие обязаны оказывать органы местного самоуправления, а также иные юридические лица, оказывающие по роду своей деятельности необходимые для таких случаев услуги.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6. ЛИЦО, ОСУЩЕСТВЛЯЮЩЕЕ ОРГАНИЗАЦИЮ ПОГРЕБЕНИЯ</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6.1.Исполнителями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обязанности осуществить погребение умершего, либо осуществляется специализированной службой по вопросам похоронного дела.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6.2.Лицо, взявшее на себя обязанность по организации похорон, должно осуществить весь процесс организации погребения, в том числе оформление документов, необходимых для погребения, получение справки о смерти, гербового свидетельства о смерти, пособия на погребение.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6.3.В случае отсутствия лиц, взявших на себя обязанность осуществить погребение умершего, погребение осуществляется Администрацией сельсовета, либо иными органами, изъявившими желание по организации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7.ГАРАНТИИ ПРИ ОСУЩЕСТВЛЕНИИ ПОГРЕБЕНИЯ УМЕРШИХ (ПОГИБШИХ)</w:t>
      </w: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7.1.Супругу,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(далее - лицо, взявшее на себя обязанность осуществить </w:t>
      </w:r>
    </w:p>
    <w:p>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погребение), гарантируется оказание на безвозмездной основе следующего перечня услуг по погребению: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7.1.1.выдача документов, необходимых для погребения умершего, в течение суток с момента установления причины смерти; 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7.1.2.предоставление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7.1.3.оказание содействия в решении вопросов, предусмотренных пунктом 5.7. настоящего Положения;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7.1.4.исполнение волеизъявления умершего в соответствии с разделом 5 настоящего положения.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8.ГАРАНТИРОВАННЫЙ ПЕРЕЧЕНЬ УСЛУГ ПО ПОГРЕБЕНИЮ</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8.1.Супругу,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оформление документов, необходимых для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предоставление и доставка гроба и других предметов, необходимых для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перевозка тела (останков) умершего на кладбище (в крематорий);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погребение (кремация с последующей выдачей урны с прахом).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8.2. Качество ритуальных услуг и предметов похоронного ритуала, предоставляемых юридическими лицами и индивидуальными предпринимателями, оказывающими ритуальные услуги, должно соответствовать санитарным нормам и правилам, техническим условиям, требованиям, устанавливаемым постановлением администрации Богородского сельсовета Мокшанского района Пензенской области и другим документам, которые в соответствии с законодательством Российской Федерации устанавливают обязательные требования к услугам и продукции.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8.3.Услуги по погребению, указанные в части 8.1 настоящего раздела, оказываются специализированной службой по вопросам похоронного дела.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8.4.Оказание гарантированного перечня услуг по погребению на безвозмездной основе осуществляется специализированной службой по вопросам похоронного дела на основании следующих документов: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заявления об оказании гарантированного перечня услуг по погребению на безвозмездной основе;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медицинского свидетельства о смерти и паспорта умершего (погибшего); при погребении несовершеннолетних, умерших в возрасте до 14 лет - свидетельства о рождении (кроме случаев погребения мертворожденных детей по истечении 154 дней </w:t>
      </w:r>
    </w:p>
    <w:p>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беременности) или копии самостоятельно оформленного в органах ЗАГС свидетельства о смерти.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8.5.Стоимость услуг, предоставляемых согласно гарантированному перечню услуг по погребению, определяется постановлением администрации Богородского сельсовета Мокшанского района Пензенской области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за счет средств Пенсионного фонда Российской Федерации, федерального бюджета и Фонда социального страхования Российской Федерации осуществляется в размере и порядке, предусмотренных Федеральным законом «О погребении и похоронном деле» (далее – Федеральный закон).</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Стоимость услуг, предоставляемых согласно гарантированному перечню услуг по погребению, в случае,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возмещается специализированной службе по вопросам похоронного дела в десятидневный срок со дня обращения этой службы за счет средств бюджета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8.6.Оплата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8.7.Специализированная служба по вопросам похоронного дела, а также иные организации, оказывающие ритуальные услуги, несут ответственность за ненадлежащее оказание ритуальных услуг в соответствии с действующим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8.8.Гражданам, получившим услуги указанные в части 8.1. настоящего раздела, социальное пособие на погребение, не выплачивается.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9.СОЦИАЛЬНОЕ ПОСОБИЕ НА ПОГРЕБЕНИЕ</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9.1.В случае, если погребение умершего (погибшего) осуществляется за счет средств лица, взявшему на себя обязанность осуществить погребение умершего, ему выплачивается социальное пособие на погребение в размере, установленном действующим законодательством.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9.2.Выплата пособия на погребение производится в день обращения на основании справки о смерти: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органом, в котором умерший получал пенсию;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организацией (иным работодателем),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(иному законному представителю) или иному члену семьи умершего несовершеннолетнего на день смерти этого несовершеннолетнего;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органом Фонда социального страхования Российской Федерации, в котором был зарегистрирован в качестве страхователя умерший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9.3.Социальное пособие на погребение выплачивается, если обращение за ним последовало не позднее шести месяцев со дня смерти.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9.4.Информация о выплате социального пособия на погребение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10.ГАРАНТИИ ПОГРЕБЕНИЯ УМЕРШИХ (ПОГИБШИХ),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10.1.При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10.2.Погребение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10.3.Качество услуг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должно соответствовать требованиям, установленным п.8.2. Положения.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Услуги, оказываемые специализированной службой по вопросам похоронного дела при погребении в указанных случаях включают:</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оформление документов, необходимых для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облачение тела;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предоставление гроба;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перевозку умершего на кладбище (в крематорий);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погребение.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10.4.Расходы на погребение умерших, личность которых не установлена органами внутренних дел в определенные законодательством Российской Федерации сроки, возмещаются в порядке, предусмотренном пунктом 3 статьи 9 Федерального закона от 12.01.1996 № 8-ФЗ «О погребении и похоронном деле»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11.СОЗДАНИЕ И ОРГАНИЗАЦИЯ МЕСТА ПОГРЕБЕНИЯ</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11.1.Решение о создании места погребения принимается Администрацией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11.2.Выбор земельного участка для размещения места погребения осуществляется в соответствии с правилами застройки сельсовета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11.3.Вновь создаваемые места погребения должны размещаться на расстоянии не менее 300 метров от границ селитебной территории.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11.4.Участок, отводимый под кладбище, должен удовлетворять следующим требованиям: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затопляться при паводках;</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лишь для размещения кладбища для погребения после кремации;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-иметь сухую, пористую почву (супесчаную, песчаную) на глубине 1,5 м и ниже с влажностью почвы в пределах 6 - 18%.</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11.5. Кладбище с погребением путем предания тела (останков) умершего земле (захоронение в могилу, склеп) размещают на расстоянии: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 жилых, общественных зданий, спортивно-оздоровительных и санаторно-курортных зон в соответствии с требованиями к санитарно-защитным зонам;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11.6.При устройстве кладбища должны предусматриваться: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водоупорный слой;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система дренажа;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обваловка территории кладбища;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разделение территории кладбища на зоны: ритуальную, административно-хозяйственную, захоронений;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водоснабжение, водоотведение, тепло-электроснабжение, благоустройство территории;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подъездные пути и автостоянки.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(в данной редакции действует до 01.03.2027)</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11.7.Площадь участков для размещения мест захоронения должна быть не более 70% общей площади кладбища.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(в данной редакции действует до 01.03.2027)</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11.8.Повторное захоронение в одну и ту же могилу тел родственников допускается по истечении времени разложения и минерализации тела умершего.</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(в данной редакции действует до 01.03.2027)</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11.9.Предоставление земельного участка для размещения места погребения (кладбища) осуществляется Администрацией сельсовета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Пензенской области.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11.10.Размер земельного участка для кладбища определяется с учетом количества жителей конкретного населенного пункта сельсовета, но не может превышать сорока гектаров.</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11.11.Размер бесплатно предоставляемого участка земли на территориях кладбищ для погребения умершего составляет 5 квадратных метров, что гарантирует погребение на этом же участке земли умершего супруга или близкого родственника.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11.12.Использование территории места погребения разрешается по истечении 20-ти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11.13.Создаваемые,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экологии сельсовета и стихийных бедствий.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11.14.Места захоронения (кладбища) на территории сельского поселения находятся в ведении Администрации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11.15.Продолжительность кладбищенского периода в Российской Федерации установлен в 20 лет</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12.ПОРЯДОК ПРОВЕДЕНИЯ ИНВЕНТАРИЗАЦИИ МЕСТ ЗАХОРОНЕНИЯ НА КЛАДБИЩАХ</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12.1.Объектами инвентаризации являются все захоронения, произведенные на территории общественных кладбищ сельсовета (действующих и закрытых).</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12.2.Инвентаризация осуществляется с целью:</w:t>
      </w:r>
    </w:p>
    <w:p>
      <w:pPr>
        <w:spacing w:after="0" w:line="240" w:lineRule="auto"/>
        <w:ind w:firstLine="567"/>
        <w:jc w:val="both"/>
        <w:rPr>
          <w:rFonts w:ascii="Times New Roman" w:hAnsi="Times New Roman" w:eastAsia="Times New Roman" w:cs="Times New Roman"/>
          <w:color w:val="000000"/>
          <w:sz w:val="24"/>
          <w:szCs w:val="24"/>
          <w:lang w:eastAsia="ru-RU"/>
        </w:rPr>
      </w:pPr>
      <w:bookmarkStart w:id="0" w:name="sub_721"/>
      <w:r>
        <w:rPr>
          <w:rFonts w:ascii="Times New Roman" w:hAnsi="Times New Roman" w:eastAsia="Times New Roman" w:cs="Times New Roman"/>
          <w:color w:val="000000"/>
          <w:sz w:val="24"/>
          <w:szCs w:val="24"/>
          <w:lang w:eastAsia="ru-RU"/>
        </w:rPr>
        <w:t>12.2.1.учета всех мест захоронений (могил).</w:t>
      </w:r>
      <w:bookmarkEnd w:id="0"/>
    </w:p>
    <w:p>
      <w:pPr>
        <w:spacing w:after="0" w:line="240" w:lineRule="auto"/>
        <w:ind w:firstLine="567"/>
        <w:jc w:val="both"/>
        <w:rPr>
          <w:rFonts w:ascii="Times New Roman" w:hAnsi="Times New Roman" w:eastAsia="Times New Roman" w:cs="Times New Roman"/>
          <w:color w:val="000000"/>
          <w:sz w:val="24"/>
          <w:szCs w:val="24"/>
          <w:lang w:eastAsia="ru-RU"/>
        </w:rPr>
      </w:pPr>
      <w:bookmarkStart w:id="1" w:name="sub_722"/>
      <w:r>
        <w:rPr>
          <w:rFonts w:ascii="Times New Roman" w:hAnsi="Times New Roman" w:eastAsia="Times New Roman" w:cs="Times New Roman"/>
          <w:color w:val="000000"/>
          <w:sz w:val="24"/>
          <w:szCs w:val="24"/>
          <w:lang w:eastAsia="ru-RU"/>
        </w:rPr>
        <w:t>12.2.2.выявления мест захоронений (могил) без регистрационных номеров и данных о захороненных.</w:t>
      </w:r>
      <w:bookmarkEnd w:id="1"/>
    </w:p>
    <w:p>
      <w:pPr>
        <w:spacing w:after="0" w:line="240" w:lineRule="auto"/>
        <w:ind w:firstLine="567"/>
        <w:jc w:val="both"/>
        <w:rPr>
          <w:rFonts w:ascii="Times New Roman" w:hAnsi="Times New Roman" w:eastAsia="Times New Roman" w:cs="Times New Roman"/>
          <w:color w:val="000000"/>
          <w:sz w:val="24"/>
          <w:szCs w:val="24"/>
          <w:lang w:eastAsia="ru-RU"/>
        </w:rPr>
      </w:pPr>
      <w:bookmarkStart w:id="2" w:name="sub_723"/>
      <w:r>
        <w:rPr>
          <w:rFonts w:ascii="Times New Roman" w:hAnsi="Times New Roman" w:eastAsia="Times New Roman" w:cs="Times New Roman"/>
          <w:color w:val="000000"/>
          <w:sz w:val="24"/>
          <w:szCs w:val="24"/>
          <w:lang w:eastAsia="ru-RU"/>
        </w:rPr>
        <w:t>12.2.3.определения состояния захоронений (могил), надгробных сооружений, ограждений.</w:t>
      </w:r>
      <w:bookmarkEnd w:id="2"/>
    </w:p>
    <w:p>
      <w:pPr>
        <w:spacing w:after="0" w:line="240" w:lineRule="auto"/>
        <w:ind w:firstLine="567"/>
        <w:jc w:val="both"/>
        <w:rPr>
          <w:rFonts w:ascii="Times New Roman" w:hAnsi="Times New Roman" w:eastAsia="Times New Roman" w:cs="Times New Roman"/>
          <w:color w:val="000000"/>
          <w:sz w:val="24"/>
          <w:szCs w:val="24"/>
          <w:lang w:eastAsia="ru-RU"/>
        </w:rPr>
      </w:pPr>
      <w:bookmarkStart w:id="3" w:name="sub_73"/>
      <w:r>
        <w:rPr>
          <w:rFonts w:ascii="Times New Roman" w:hAnsi="Times New Roman" w:eastAsia="Times New Roman" w:cs="Times New Roman"/>
          <w:color w:val="000000"/>
          <w:sz w:val="24"/>
          <w:szCs w:val="24"/>
          <w:lang w:eastAsia="ru-RU"/>
        </w:rPr>
        <w:t>12.3.Инвентаризация мест захоронений проводится Администрацией сельсовета не реже одного раза в три года, на основании распоряжения Администрации сельсовета.</w:t>
      </w:r>
      <w:bookmarkEnd w:id="3"/>
    </w:p>
    <w:p>
      <w:pPr>
        <w:spacing w:after="0" w:line="240" w:lineRule="auto"/>
        <w:ind w:firstLine="567"/>
        <w:jc w:val="both"/>
        <w:rPr>
          <w:rFonts w:ascii="Times New Roman" w:hAnsi="Times New Roman" w:eastAsia="Times New Roman" w:cs="Times New Roman"/>
          <w:color w:val="000000"/>
          <w:sz w:val="24"/>
          <w:szCs w:val="24"/>
          <w:lang w:eastAsia="ru-RU"/>
        </w:rPr>
      </w:pPr>
      <w:bookmarkStart w:id="4" w:name="sub_74"/>
      <w:r>
        <w:rPr>
          <w:rFonts w:ascii="Times New Roman" w:hAnsi="Times New Roman" w:eastAsia="Times New Roman" w:cs="Times New Roman"/>
          <w:color w:val="000000"/>
          <w:sz w:val="24"/>
          <w:szCs w:val="24"/>
          <w:lang w:eastAsia="ru-RU"/>
        </w:rPr>
        <w:t>12.4.Для проведения инвентаризации мест захоронений создается инвентаризационная комиссия.</w:t>
      </w:r>
      <w:bookmarkEnd w:id="4"/>
    </w:p>
    <w:p>
      <w:pPr>
        <w:spacing w:after="0" w:line="240" w:lineRule="auto"/>
        <w:ind w:firstLine="567"/>
        <w:jc w:val="both"/>
        <w:rPr>
          <w:rFonts w:ascii="Times New Roman" w:hAnsi="Times New Roman" w:eastAsia="Times New Roman" w:cs="Times New Roman"/>
          <w:color w:val="000000"/>
          <w:sz w:val="24"/>
          <w:szCs w:val="24"/>
          <w:lang w:eastAsia="ru-RU"/>
        </w:rPr>
      </w:pPr>
      <w:bookmarkStart w:id="5" w:name="sub_75"/>
      <w:r>
        <w:rPr>
          <w:rFonts w:ascii="Times New Roman" w:hAnsi="Times New Roman" w:eastAsia="Times New Roman" w:cs="Times New Roman"/>
          <w:color w:val="000000"/>
          <w:sz w:val="24"/>
          <w:szCs w:val="24"/>
          <w:lang w:eastAsia="ru-RU"/>
        </w:rPr>
        <w:t>12.5.Первичная инвентаризация мест захоронений включает в себя осмотр места захоронения (могил), составление журнала инвентаризации. Форма журнала инвентаризации мест захоронений установлена приложением № 1 к настоящему Положению.</w:t>
      </w:r>
      <w:bookmarkEnd w:id="5"/>
    </w:p>
    <w:p>
      <w:pPr>
        <w:spacing w:after="0" w:line="240" w:lineRule="auto"/>
        <w:ind w:firstLine="567"/>
        <w:jc w:val="both"/>
        <w:rPr>
          <w:rFonts w:ascii="Times New Roman" w:hAnsi="Times New Roman" w:eastAsia="Times New Roman" w:cs="Times New Roman"/>
          <w:color w:val="000000"/>
          <w:sz w:val="24"/>
          <w:szCs w:val="24"/>
          <w:lang w:eastAsia="ru-RU"/>
        </w:rPr>
      </w:pPr>
      <w:bookmarkStart w:id="6" w:name="sub_76"/>
      <w:r>
        <w:rPr>
          <w:rFonts w:ascii="Times New Roman" w:hAnsi="Times New Roman" w:eastAsia="Times New Roman" w:cs="Times New Roman"/>
          <w:color w:val="000000"/>
          <w:sz w:val="24"/>
          <w:szCs w:val="24"/>
          <w:lang w:eastAsia="ru-RU"/>
        </w:rPr>
        <w:t>12.6.Последующие инвентаризации мест захоронений включают в себя осмотр места захоронения (могил), составление журнала инвентаризации, сопоставление данных проводимой инвентаризации с данными предыдущей инвентаризации.</w:t>
      </w:r>
      <w:bookmarkEnd w:id="6"/>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12.7.При проведении инвентаризации комиссией заполняется инвентаризационная опись (приложение 2)</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12.8.Инвентаризация захоронений производится в форме проведения выездной проверки непосредственно на кладбище и составления данных на регистрационном знаке захоронения (Ф.И.О. умершего, даты его рождения и смерти, регистрационный номер) с данными книг регистрации захоронений (захоронений урн с прахом).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Информация об умершем на регистрационном знаке захоронения должна совпадать с данными об умершем, указанными на надмогильном сооружении (надгробии) или ином ритуальном знаке, если таковые установлены на захоронении, а также с данными об умершем, содержащимися в книгах регистрации захоронений (захоронений урн с прахом).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12.9.При отсутствии на могиле регистрационного знака сопоставление данных книг регистрации захоронений (захоронений урн с прахом) производится с данными об умершем (Ф.И.О. умершего, даты его рождения и смерти), содержащимися на надмогильном сооружении (надгробии) или ином ритуальном знаке, если таковые установлены на захоронении.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данном случае в инвентаризационной описи в графе «Инвентарный № места захоронения, указанный на регистрационном знаке захоронения» ставится прочерк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12.10.В случае если отсутствуют регистрационный знак на захоронении и запись в книгах регистрации захоронений (захоронений урн с прахом) о произведенном захоронении, но имеется какая-либо информация об умершем на могиле, позволяющая идентифицировать захоронение, то в инвентаризационной описи в графах «номер захоронения, указанный в книге регистрации захоронений (захоронений урн с прахом)» и «номер захоронения, указанный на регистрационном знаке захоронения» ставится «-». Иные графы инвентаризационной описи заполняются исходя из наличия имеющейся информации о захоронении.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12.11.В случае если в книгах регистрации захоронений (захоронений урн с прахом) и на захоронении отсутствует какая-либо информация об умершем, позволяющая идентифицировать захоронение, то подобное захоронение признается неучтенным.</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этом случае в инвентаризационной описи в графе «Примечание» делается запись «неучтенное захоронение», в графах «номер захоронения в книге регистрации захоронений (захоронений урн с прахом)» и «номер захоронения, указанный на регистрационном знаке захоронения» ставится прочерк «-», иные графы инвентаризационной описи заполняются исходя из наличия имеющейся информации о захоронении.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12.12.Инвентаризация захоронений производится по видам мест захоронений.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12.13.По результатам проведенной инвентаризации составляется акт о результатах инвентаризации захоронений на кладбищах, расположенных на территории сельсовета, который подписывается председателем и членами инвентаризационной комиссии (приложение 3).</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12.14.По результатам инвентаризации проводятся следующие мероприятия: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12.14.1.Если на захоронении отсутствует регистрационный знак с номером захоронения, но в книгах регистрации захоронений (захоронений урн с прахом) и на самом захоронении имеется какая-либо информация об умершем, позволяющая идентифицировать соответствующее захоронение, то на указанных захоронениях устанавливаются регистрационные знаки (либо крепятся к ограде, цоколю и т.п.) таблички с указанием Ф.И.О. умершего, дат его рождения и смерти, регистрационного номера захоронения.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Регистрационный номер захоронения, указанный на регистрационном знаке, должен совпадать с номером захоронения, указанным в книге регистрации захоронений (захоронений урн с прахом).</w:t>
      </w:r>
    </w:p>
    <w:p>
      <w:pPr>
        <w:spacing w:after="0" w:line="240" w:lineRule="auto"/>
        <w:ind w:firstLine="567"/>
        <w:jc w:val="both"/>
        <w:rPr>
          <w:rFonts w:ascii="Times New Roman" w:hAnsi="Times New Roman" w:eastAsia="Times New Roman" w:cs="Times New Roman"/>
          <w:color w:val="000000"/>
          <w:sz w:val="24"/>
          <w:szCs w:val="24"/>
          <w:lang w:eastAsia="ru-RU"/>
        </w:rPr>
      </w:pP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12.14.2.Если на захоронении и в книгах регистрации захоронений (захоронений урн с прахом) отсутствует какая-либо информация об умершем, позволяющая идентифицировать захоронение, то на подобных захоронениях устанавливаются регистрационные знаки с указанием только регистрационного номера захоронения.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этом случае в книге регистрации захоронений (захоронений урн с прахом) указывается только регистрационный номер захоронения, дополнительно делается запись «неблагоустроенное (брошенное) захоронение».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12.14.3.Если при инвентаризации захоронений выявлены неправильные данные в книгах регистрации захоронений (захоронений урн с прахом), то исправление в книгах регистрации захоронений и журнале инвентаризации производится путем зачеркивания неправильных записей и проставления над зачеркнутыми правильных записей.</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Исправления должны быть оговорены и подписаны председателем и членами инвентаризационной комиссии, дополнительно указываются номер и дата распоряжения о проведении инвентаризации захоронений на соответствующем кладбище.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12.14.4.В книгах регистрации захоронений (захоронений урн с прахом) производится регистрация всех захоронений, не учтенных по каким-либо причинам, в том числе неблагоустроенных (брошенных) захоронений, при этом делается пометка «запись внесена по результатам инвентаризации», указываются номер и дата распоряжения о проведении инвентаризации захоронений на соответствующем кладбище, ставятся подписи председателя и членов инвентаризационной комиссии.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13.ФИНАНСИРОВАНИЕ ПОХОРОННОГО ДЕЛА НА ТЕРРИТОРИИ СЕЛЬСКОГО ПОСЕЛЕНИЯ</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13.1.Источниками финансирования похоронного дела являются средства, предусмотренные Федеральным законом «О погребении и похоронном деле», средства местного бюджета, а также иные источники в соответствии с законодательством Российской Федерации.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14.ОТВЕТСТВЕННОСТЬ ЗА НАРУШЕНИЕ ПРАВИЛ ОКАЗАНИЯ РИТУАЛЬНЫХ УСЛУГ И ПОГРЕБЕНИЯ</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14.1.Все хозяйствующие субъекты, оказывающие на территории сельского поселения ритуальные услуги, а также осуществляющие действия, связанные с погребением умерших (погибших), должны обеспечить высокое качество предоставляемых услуг и производимых работ и соблюдать требования, установленные действующим законодательством Российской Федерации, Пензенской области, Комитетом местного самоуправления и Администрацией сельсовета.</w:t>
      </w:r>
    </w:p>
    <w:p>
      <w:pPr>
        <w:spacing w:after="0" w:line="240" w:lineRule="auto"/>
        <w:ind w:firstLine="567"/>
        <w:jc w:val="both"/>
        <w:rPr>
          <w:rFonts w:ascii="Times New Roman" w:hAnsi="Times New Roman" w:eastAsia="Times New Roman" w:cs="Times New Roman"/>
          <w:color w:val="000000"/>
          <w:sz w:val="24"/>
          <w:szCs w:val="24"/>
          <w:lang w:eastAsia="ru-RU"/>
        </w:rPr>
      </w:pPr>
      <w:bookmarkStart w:id="7" w:name="sub_62"/>
      <w:r>
        <w:rPr>
          <w:rFonts w:ascii="Times New Roman" w:hAnsi="Times New Roman" w:eastAsia="Times New Roman" w:cs="Times New Roman"/>
          <w:color w:val="000000"/>
          <w:sz w:val="24"/>
          <w:szCs w:val="24"/>
          <w:lang w:eastAsia="ru-RU"/>
        </w:rPr>
        <w:t>14.2.</w:t>
      </w:r>
      <w:bookmarkEnd w:id="7"/>
      <w:bookmarkStart w:id="8" w:name="sub_64"/>
      <w:r>
        <w:rPr>
          <w:rFonts w:ascii="Times New Roman" w:hAnsi="Times New Roman" w:eastAsia="Times New Roman" w:cs="Times New Roman"/>
          <w:color w:val="000000"/>
          <w:sz w:val="24"/>
          <w:szCs w:val="24"/>
          <w:lang w:eastAsia="ru-RU"/>
        </w:rPr>
        <w:t>Специализированная служба по вопросам похоронного дела несет ответственность за качество предоставляемых ритуальных услуг, за содержание мест погребений, непредставление гарантированного перечня услуг по погребению на безвозмездной основе.</w:t>
      </w:r>
      <w:bookmarkEnd w:id="8"/>
    </w:p>
    <w:p>
      <w:pPr>
        <w:spacing w:after="0" w:line="240" w:lineRule="auto"/>
        <w:ind w:firstLine="567"/>
        <w:jc w:val="both"/>
        <w:rPr>
          <w:rFonts w:ascii="Times New Roman" w:hAnsi="Times New Roman" w:eastAsia="Times New Roman" w:cs="Times New Roman"/>
          <w:color w:val="000000"/>
          <w:sz w:val="24"/>
          <w:szCs w:val="24"/>
          <w:lang w:eastAsia="ru-RU"/>
        </w:rPr>
      </w:pPr>
      <w:bookmarkStart w:id="9" w:name="sub_65"/>
      <w:r>
        <w:rPr>
          <w:rFonts w:ascii="Times New Roman" w:hAnsi="Times New Roman" w:eastAsia="Times New Roman" w:cs="Times New Roman"/>
          <w:color w:val="000000"/>
          <w:sz w:val="24"/>
          <w:szCs w:val="24"/>
          <w:lang w:eastAsia="ru-RU"/>
        </w:rPr>
        <w:t>14.3.Лица, осуществившие погребение (перезахоронение) умершего без оформления или без надлежаще оформленных документов, необходимых для погребения (перезахоронения), несут ответственность в соответствии с действующим законодательством Российской Федерации.</w:t>
      </w:r>
      <w:bookmarkEnd w:id="9"/>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14.4.Возникающие имущественные и другие споры между гражданами и специализированной службой по вопросам похоронного дела разрешаются в установленном законодательством порядке.</w:t>
      </w:r>
    </w:p>
    <w:p>
      <w:pPr>
        <w:spacing w:after="0" w:line="240" w:lineRule="auto"/>
        <w:ind w:firstLine="567"/>
        <w:jc w:val="right"/>
        <w:rPr>
          <w:rFonts w:ascii="Times New Roman" w:hAnsi="Times New Roman" w:eastAsia="Times New Roman" w:cs="Times New Roman"/>
          <w:color w:val="000000"/>
          <w:sz w:val="24"/>
          <w:szCs w:val="24"/>
          <w:lang w:eastAsia="ru-RU"/>
        </w:rPr>
      </w:pPr>
      <w:bookmarkStart w:id="10" w:name="_GoBack"/>
      <w:bookmarkEnd w:id="10"/>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sectPr>
          <w:pgSz w:w="11906" w:h="16838"/>
          <w:pgMar w:top="1134" w:right="850" w:bottom="1134" w:left="1701" w:header="708" w:footer="708" w:gutter="0"/>
          <w:cols w:space="708" w:num="1"/>
          <w:docGrid w:linePitch="360" w:charSpace="0"/>
        </w:sect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Приложение №1</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 Положению об организации похоронного дела </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 территории Богородского сельсовета</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Мокшанского района Пензенской области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Журнал инвентаризации кладбища (наименование кладбища)</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 </w:t>
      </w:r>
    </w:p>
    <w:tbl>
      <w:tblPr>
        <w:tblStyle w:val="3"/>
        <w:tblW w:w="5301" w:type="pct"/>
        <w:jc w:val="center"/>
        <w:tblLayout w:type="autofit"/>
        <w:tblCellMar>
          <w:top w:w="0" w:type="dxa"/>
          <w:left w:w="0" w:type="dxa"/>
          <w:bottom w:w="0" w:type="dxa"/>
          <w:right w:w="0" w:type="dxa"/>
        </w:tblCellMar>
      </w:tblPr>
      <w:tblGrid>
        <w:gridCol w:w="993"/>
        <w:gridCol w:w="1687"/>
        <w:gridCol w:w="1764"/>
        <w:gridCol w:w="1602"/>
        <w:gridCol w:w="1197"/>
        <w:gridCol w:w="1918"/>
        <w:gridCol w:w="1393"/>
        <w:gridCol w:w="1393"/>
        <w:gridCol w:w="1357"/>
        <w:gridCol w:w="1529"/>
        <w:gridCol w:w="843"/>
      </w:tblGrid>
      <w:tr>
        <w:trPr>
          <w:trHeight w:val="2501" w:hRule="atLeast"/>
          <w:jc w:val="center"/>
        </w:trPr>
        <w:tc>
          <w:tcPr>
            <w:tcW w:w="13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ind w:firstLine="56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p>
            <w:pPr>
              <w:spacing w:after="0" w:line="240" w:lineRule="auto"/>
              <w:ind w:left="-1246" w:right="-373" w:firstLine="993"/>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п/п</w:t>
            </w:r>
          </w:p>
        </w:tc>
        <w:tc>
          <w:tcPr>
            <w:tcW w:w="595"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Инвентарный № места захоронения, указанный на регистрационном знаке захоронения</w:t>
            </w:r>
          </w:p>
        </w:tc>
        <w:tc>
          <w:tcPr>
            <w:tcW w:w="563"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Инвентарный № могилы</w:t>
            </w:r>
          </w:p>
        </w:tc>
        <w:tc>
          <w:tcPr>
            <w:tcW w:w="511"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Данные захороненного</w:t>
            </w:r>
          </w:p>
          <w:p>
            <w:pPr>
              <w:spacing w:after="0" w:line="240" w:lineRule="auto"/>
              <w:ind w:firstLine="567"/>
              <w:jc w:val="center"/>
              <w:rPr>
                <w:rFonts w:ascii="Times New Roman" w:hAnsi="Times New Roman" w:eastAsia="Times New Roman" w:cs="Times New Roman"/>
                <w:lang w:eastAsia="ru-RU"/>
              </w:rPr>
            </w:pPr>
            <w:r>
              <w:rPr>
                <w:rFonts w:ascii="Times New Roman" w:hAnsi="Times New Roman" w:eastAsia="Times New Roman" w:cs="Times New Roman"/>
                <w:lang w:eastAsia="ru-RU"/>
              </w:rPr>
              <w:t>ФИО, дата рождения, смерти</w:t>
            </w:r>
          </w:p>
        </w:tc>
        <w:tc>
          <w:tcPr>
            <w:tcW w:w="382"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№сектора, ряда</w:t>
            </w:r>
          </w:p>
        </w:tc>
        <w:tc>
          <w:tcPr>
            <w:tcW w:w="612"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ind w:hanging="29"/>
              <w:jc w:val="center"/>
              <w:rPr>
                <w:rFonts w:ascii="Times New Roman" w:hAnsi="Times New Roman" w:eastAsia="Times New Roman" w:cs="Times New Roman"/>
                <w:lang w:eastAsia="ru-RU"/>
              </w:rPr>
            </w:pPr>
            <w:r>
              <w:rPr>
                <w:rFonts w:ascii="Times New Roman" w:hAnsi="Times New Roman" w:eastAsia="Times New Roman" w:cs="Times New Roman"/>
                <w:lang w:eastAsia="ru-RU"/>
              </w:rPr>
              <w:t>Регистрационный </w:t>
            </w:r>
          </w:p>
          <w:p>
            <w:pPr>
              <w:spacing w:after="0" w:line="240" w:lineRule="auto"/>
              <w:ind w:hanging="29"/>
              <w:jc w:val="center"/>
              <w:rPr>
                <w:rFonts w:ascii="Times New Roman" w:hAnsi="Times New Roman" w:eastAsia="Times New Roman" w:cs="Times New Roman"/>
                <w:lang w:eastAsia="ru-RU"/>
              </w:rPr>
            </w:pPr>
            <w:r>
              <w:rPr>
                <w:rFonts w:ascii="Times New Roman" w:hAnsi="Times New Roman" w:eastAsia="Times New Roman" w:cs="Times New Roman"/>
                <w:lang w:eastAsia="ru-RU"/>
              </w:rPr>
              <w:t>№ захоронения</w:t>
            </w:r>
          </w:p>
        </w:tc>
        <w:tc>
          <w:tcPr>
            <w:tcW w:w="44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ind w:firstLine="43"/>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Вид захоронения</w:t>
            </w:r>
          </w:p>
        </w:tc>
        <w:tc>
          <w:tcPr>
            <w:tcW w:w="44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Размер места захоронения</w:t>
            </w:r>
          </w:p>
        </w:tc>
        <w:tc>
          <w:tcPr>
            <w:tcW w:w="5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ind w:firstLine="92"/>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Наличие и состояние надмогильных сооружений</w:t>
            </w:r>
          </w:p>
        </w:tc>
        <w:tc>
          <w:tcPr>
            <w:tcW w:w="510"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Сведения о лице, ответственном за захоронение, либо ином лице, ухаживающем за захоронением</w:t>
            </w:r>
          </w:p>
        </w:tc>
        <w:tc>
          <w:tcPr>
            <w:tcW w:w="2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Приме</w:t>
            </w:r>
          </w:p>
          <w:p>
            <w:pPr>
              <w:spacing w:after="0" w:line="240" w:lineRule="auto"/>
              <w:ind w:firstLine="5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чание</w:t>
            </w:r>
          </w:p>
        </w:tc>
      </w:tr>
      <w:tr>
        <w:tblPrEx>
          <w:tblCellMar>
            <w:top w:w="0" w:type="dxa"/>
            <w:left w:w="0" w:type="dxa"/>
            <w:bottom w:w="0" w:type="dxa"/>
            <w:right w:w="0" w:type="dxa"/>
          </w:tblCellMar>
        </w:tblPrEx>
        <w:trPr>
          <w:trHeight w:val="245" w:hRule="atLeast"/>
          <w:jc w:val="center"/>
        </w:trPr>
        <w:tc>
          <w:tcPr>
            <w:tcW w:w="13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95"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63"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1"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82"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612"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4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4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0"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tblPrEx>
          <w:tblCellMar>
            <w:top w:w="0" w:type="dxa"/>
            <w:left w:w="0" w:type="dxa"/>
            <w:bottom w:w="0" w:type="dxa"/>
            <w:right w:w="0" w:type="dxa"/>
          </w:tblCellMar>
        </w:tblPrEx>
        <w:trPr>
          <w:trHeight w:val="258" w:hRule="atLeast"/>
          <w:jc w:val="center"/>
        </w:trPr>
        <w:tc>
          <w:tcPr>
            <w:tcW w:w="13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95"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63"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1"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82"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612"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4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44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10"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bl>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Приложение №2</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 Положению об организации похоронного дела на территории Богородского сельсовета</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Мокшанского района Пензенской области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Инвентаризационная опись захоронений на кладбищах, расположенных на территории сельсовета (наименование кладбища, место его расположения)</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0"/>
          <w:szCs w:val="30"/>
          <w:lang w:eastAsia="ru-RU"/>
        </w:rPr>
        <w:t> </w:t>
      </w:r>
    </w:p>
    <w:tbl>
      <w:tblPr>
        <w:tblStyle w:val="3"/>
        <w:tblW w:w="15450" w:type="dxa"/>
        <w:jc w:val="center"/>
        <w:tblLayout w:type="autofit"/>
        <w:tblCellMar>
          <w:top w:w="0" w:type="dxa"/>
          <w:left w:w="0" w:type="dxa"/>
          <w:bottom w:w="0" w:type="dxa"/>
          <w:right w:w="0" w:type="dxa"/>
        </w:tblCellMar>
      </w:tblPr>
      <w:tblGrid>
        <w:gridCol w:w="1156"/>
        <w:gridCol w:w="3508"/>
        <w:gridCol w:w="2871"/>
        <w:gridCol w:w="2839"/>
        <w:gridCol w:w="2861"/>
        <w:gridCol w:w="2215"/>
      </w:tblGrid>
      <w:tr>
        <w:tblPrEx>
          <w:tblCellMar>
            <w:top w:w="0" w:type="dxa"/>
            <w:left w:w="0" w:type="dxa"/>
            <w:bottom w:w="0" w:type="dxa"/>
            <w:right w:w="0" w:type="dxa"/>
          </w:tblCellMar>
        </w:tblPrEx>
        <w:trPr>
          <w:jc w:val="center"/>
        </w:trPr>
        <w:tc>
          <w:tcPr>
            <w:tcW w:w="89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 п/п</w:t>
            </w:r>
          </w:p>
        </w:tc>
        <w:tc>
          <w:tcPr>
            <w:tcW w:w="325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Захоронение (Ф.И.О. умершего, дата смерти, краткое описание захоронения, позволяющее его идентифицировать)</w:t>
            </w:r>
          </w:p>
        </w:tc>
        <w:tc>
          <w:tcPr>
            <w:tcW w:w="26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Наличие надгробного сооружения (краткое описание, материал, из которого изготовлено сооружение)</w:t>
            </w:r>
          </w:p>
        </w:tc>
        <w:tc>
          <w:tcPr>
            <w:tcW w:w="26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Номер захоронения, указанный в книге регистрации захоронений (захоронений урн с прахом)</w:t>
            </w:r>
          </w:p>
        </w:tc>
        <w:tc>
          <w:tcPr>
            <w:tcW w:w="265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Номер захоронения, указанный на регистрационном знаке захоронения</w:t>
            </w:r>
          </w:p>
        </w:tc>
        <w:tc>
          <w:tcPr>
            <w:tcW w:w="195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Примечание</w:t>
            </w:r>
          </w:p>
        </w:tc>
      </w:tr>
      <w:tr>
        <w:tblPrEx>
          <w:tblCellMar>
            <w:top w:w="0" w:type="dxa"/>
            <w:left w:w="0" w:type="dxa"/>
            <w:bottom w:w="0" w:type="dxa"/>
            <w:right w:w="0" w:type="dxa"/>
          </w:tblCellMar>
        </w:tblPrEx>
        <w:trPr>
          <w:jc w:val="center"/>
        </w:trPr>
        <w:tc>
          <w:tcPr>
            <w:tcW w:w="89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5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5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95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tblPrEx>
          <w:tblCellMar>
            <w:top w:w="0" w:type="dxa"/>
            <w:left w:w="0" w:type="dxa"/>
            <w:bottom w:w="0" w:type="dxa"/>
            <w:right w:w="0" w:type="dxa"/>
          </w:tblCellMar>
        </w:tblPrEx>
        <w:trPr>
          <w:jc w:val="center"/>
        </w:trPr>
        <w:tc>
          <w:tcPr>
            <w:tcW w:w="89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5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65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95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bl>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Итого по описи: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количество захоронений, зарегистрированных в книге регистрации захоронений (захоронений урн с прахом)_______________________________________- (прописью)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количество захоронений, не зарегистрированных в книге регистрации захоронений (захоронений урн с прахом)___________________________________- (прописью)</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Председатель комиссии: ________________________________________________________________________________________________________________________</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(должность, подпись, расшифровка)</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Члены комиссии: ______________________________________________________________________________________________________________________________</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(должности, подписи, расшифровка)</w:t>
      </w:r>
    </w:p>
    <w:p>
      <w:pPr>
        <w:spacing w:after="0" w:line="240" w:lineRule="auto"/>
        <w:ind w:firstLine="567"/>
        <w:jc w:val="both"/>
        <w:rPr>
          <w:rFonts w:ascii="Times New Roman" w:hAnsi="Times New Roman" w:eastAsia="Times New Roman" w:cs="Times New Roman"/>
          <w:color w:val="000000"/>
          <w:sz w:val="24"/>
          <w:szCs w:val="24"/>
          <w:lang w:eastAsia="ru-RU"/>
        </w:rPr>
        <w:sectPr>
          <w:pgSz w:w="16838" w:h="11906" w:orient="landscape"/>
          <w:pgMar w:top="1701" w:right="1134" w:bottom="851" w:left="1134" w:header="709" w:footer="709" w:gutter="0"/>
          <w:cols w:space="708" w:num="1"/>
          <w:docGrid w:linePitch="360" w:charSpace="0"/>
        </w:sectPr>
      </w:pP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Приложение №3</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 Положению об организации похоронного дела на территории</w:t>
      </w:r>
    </w:p>
    <w:p>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Богородского сельсовета Мокшанского района Пензенской области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АКТ</w:t>
      </w:r>
    </w:p>
    <w:p>
      <w:pPr>
        <w:spacing w:after="0" w:line="240" w:lineRule="auto"/>
        <w:ind w:firstLine="56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32"/>
          <w:szCs w:val="32"/>
          <w:lang w:eastAsia="ru-RU"/>
        </w:rPr>
        <w:t>о результатах инвентаризации захоронений на кладбищах, расположенных на территории сельского поселения</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Комиссия в составе:</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Председатель комиссии:____________________________________________________</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Члены комиссии: _____________________________________________________________________________</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 результатам, проведенной инвентаризации захоронений на кладбищах, расположенных на территории сельсовета установила:</w:t>
      </w:r>
    </w:p>
    <w:tbl>
      <w:tblPr>
        <w:tblStyle w:val="3"/>
        <w:tblW w:w="5000" w:type="pct"/>
        <w:jc w:val="center"/>
        <w:tblLayout w:type="autofit"/>
        <w:tblCellMar>
          <w:top w:w="0" w:type="dxa"/>
          <w:left w:w="0" w:type="dxa"/>
          <w:bottom w:w="0" w:type="dxa"/>
          <w:right w:w="0" w:type="dxa"/>
        </w:tblCellMar>
      </w:tblPr>
      <w:tblGrid>
        <w:gridCol w:w="1072"/>
        <w:gridCol w:w="1518"/>
        <w:gridCol w:w="3439"/>
        <w:gridCol w:w="3542"/>
      </w:tblGrid>
      <w:tr>
        <w:tblPrEx>
          <w:tblCellMar>
            <w:top w:w="0" w:type="dxa"/>
            <w:left w:w="0" w:type="dxa"/>
            <w:bottom w:w="0" w:type="dxa"/>
            <w:right w:w="0" w:type="dxa"/>
          </w:tblCellMar>
        </w:tblPrEx>
        <w:trPr>
          <w:jc w:val="center"/>
        </w:trPr>
        <w:tc>
          <w:tcPr>
            <w:tcW w:w="305"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 п/п</w:t>
            </w:r>
          </w:p>
        </w:tc>
        <w:tc>
          <w:tcPr>
            <w:tcW w:w="520"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захоронений</w:t>
            </w:r>
          </w:p>
        </w:tc>
        <w:tc>
          <w:tcPr>
            <w:tcW w:w="2061"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захоронений учтенных в книге регистрации захоронений (захоронений урн с прахом)</w:t>
            </w:r>
          </w:p>
        </w:tc>
        <w:tc>
          <w:tcPr>
            <w:tcW w:w="211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захоронений не учтенных в книге регистрации захоронений (захоронений урн с прахом)</w:t>
            </w:r>
          </w:p>
        </w:tc>
      </w:tr>
      <w:tr>
        <w:tblPrEx>
          <w:tblCellMar>
            <w:top w:w="0" w:type="dxa"/>
            <w:left w:w="0" w:type="dxa"/>
            <w:bottom w:w="0" w:type="dxa"/>
            <w:right w:w="0" w:type="dxa"/>
          </w:tblCellMar>
        </w:tblPrEx>
        <w:trPr>
          <w:jc w:val="center"/>
        </w:trPr>
        <w:tc>
          <w:tcPr>
            <w:tcW w:w="305"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20"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061"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11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tblPrEx>
          <w:tblCellMar>
            <w:top w:w="0" w:type="dxa"/>
            <w:left w:w="0" w:type="dxa"/>
            <w:bottom w:w="0" w:type="dxa"/>
            <w:right w:w="0" w:type="dxa"/>
          </w:tblCellMar>
        </w:tblPrEx>
        <w:trPr>
          <w:jc w:val="center"/>
        </w:trPr>
        <w:tc>
          <w:tcPr>
            <w:tcW w:w="305"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20"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061"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2114"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spacing w:after="0" w:line="240" w:lineRule="auto"/>
              <w:ind w:firstLine="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bl>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Председатель комиссии: _____________________________________________________________________________</w:t>
      </w:r>
    </w:p>
    <w:p>
      <w:pPr>
        <w:spacing w:after="0" w:line="240" w:lineRule="auto"/>
        <w:ind w:firstLine="567"/>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(должность, подпись, расшифровка подписи)</w:t>
      </w:r>
    </w:p>
    <w:p>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Члены комиссии:________________________________________________________</w:t>
      </w:r>
    </w:p>
    <w:p>
      <w:pPr>
        <w:spacing w:after="0" w:line="240" w:lineRule="auto"/>
        <w:ind w:firstLine="567"/>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(должности, подписи, расшифровка)</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keepNext w:val="0"/>
        <w:keepLines w:val="0"/>
        <w:pageBreakBefore w:val="0"/>
        <w:widowControl/>
        <w:kinsoku/>
        <w:wordWrap/>
        <w:overflowPunct/>
        <w:topLinePunct w:val="0"/>
        <w:autoSpaceDE/>
        <w:autoSpaceDN/>
        <w:bidi w:val="0"/>
        <w:adjustRightInd/>
        <w:snapToGrid/>
        <w:jc w:val="right"/>
        <w:textAlignment w:val="auto"/>
        <w:rPr>
          <w:rFonts w:hint="default" w:ascii="Times New Roman" w:hAnsi="Times New Roman" w:cs="Times New Roman"/>
          <w:lang w:val="ru-RU"/>
        </w:rPr>
      </w:pPr>
      <w:r>
        <w:rPr>
          <w:rFonts w:hint="default" w:ascii="Times New Roman" w:hAnsi="Times New Roman" w:cs="Times New Roman"/>
          <w:lang w:val="ru-RU"/>
        </w:rPr>
        <w:t>18</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174FA9"/>
    <w:rsid w:val="00174FA9"/>
    <w:rsid w:val="005D7841"/>
    <w:rsid w:val="009B738E"/>
    <w:rsid w:val="00AB0163"/>
    <w:rsid w:val="00AF17BB"/>
    <w:rsid w:val="2076420E"/>
    <w:rsid w:val="2FC07B77"/>
    <w:rsid w:val="498E0880"/>
    <w:rsid w:val="5AB604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Tahoma" w:hAnsi="Tahoma" w:cs="Tahoma"/>
      <w:sz w:val="16"/>
      <w:szCs w:val="16"/>
    </w:rPr>
  </w:style>
  <w:style w:type="paragraph" w:styleId="5">
    <w:name w:val="Body Text"/>
    <w:basedOn w:val="1"/>
    <w:link w:val="8"/>
    <w:unhideWhenUsed/>
    <w:qFormat/>
    <w:uiPriority w:val="99"/>
    <w:pPr>
      <w:spacing w:before="100" w:beforeAutospacing="1" w:after="100" w:afterAutospacing="1" w:line="240" w:lineRule="auto"/>
      <w:jc w:val="center"/>
    </w:pPr>
    <w:rPr>
      <w:rFonts w:ascii="Times New Roman" w:hAnsi="Times New Roman" w:eastAsia="Times New Roman" w:cs="Times New Roman"/>
      <w:b/>
      <w:sz w:val="24"/>
      <w:szCs w:val="24"/>
      <w:lang w:eastAsia="ru-RU"/>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7">
    <w:name w:val="hyperlink"/>
    <w:basedOn w:val="2"/>
    <w:qFormat/>
    <w:uiPriority w:val="0"/>
  </w:style>
  <w:style w:type="character" w:customStyle="1" w:styleId="8">
    <w:name w:val="Основной текст Знак"/>
    <w:basedOn w:val="2"/>
    <w:link w:val="5"/>
    <w:qFormat/>
    <w:uiPriority w:val="99"/>
    <w:rPr>
      <w:rFonts w:ascii="Times New Roman" w:hAnsi="Times New Roman" w:eastAsia="Times New Roman" w:cs="Times New Roman"/>
      <w:b/>
      <w:sz w:val="24"/>
      <w:szCs w:val="24"/>
      <w:lang w:eastAsia="ru-RU"/>
    </w:rPr>
  </w:style>
  <w:style w:type="character" w:customStyle="1" w:styleId="9">
    <w:name w:val="Текст выноски Знак"/>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7113</Words>
  <Characters>40545</Characters>
  <Lines>337</Lines>
  <Paragraphs>95</Paragraphs>
  <TotalTime>50</TotalTime>
  <ScaleCrop>false</ScaleCrop>
  <LinksUpToDate>false</LinksUpToDate>
  <CharactersWithSpaces>47563</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2022-02-09T17:31:00Z</dcterms:created>
  <dc:creator>User</dc:creator>
  <cp:lastModifiedBy>User</cp:lastModifiedBy>
  <cp:lastPrinted>2022-02-14T06:28:23Z</cp:lastPrinted>
  <dcterms:modified xsi:type="dcterms:W3CDTF">2022-02-14T06:28:27Z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8AB2985B072048B9A36F8743DBFB75C6</vt:lpwstr>
  </property>
</Properties>
</file>